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6A" w:rsidRDefault="00FB206A" w:rsidP="00FB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BE7743" w:rsidRPr="007E29A2">
        <w:rPr>
          <w:b/>
          <w:sz w:val="28"/>
          <w:szCs w:val="28"/>
        </w:rPr>
        <w:t xml:space="preserve">ntensivernæring </w:t>
      </w:r>
      <w:r w:rsidRPr="007E29A2">
        <w:rPr>
          <w:b/>
          <w:sz w:val="28"/>
          <w:szCs w:val="28"/>
        </w:rPr>
        <w:t xml:space="preserve">hos voksne </w:t>
      </w:r>
      <w:r w:rsidR="00BE7743" w:rsidRPr="007E29A2">
        <w:rPr>
          <w:b/>
          <w:sz w:val="28"/>
          <w:szCs w:val="28"/>
        </w:rPr>
        <w:t xml:space="preserve">pasienter med </w:t>
      </w:r>
      <w:r>
        <w:rPr>
          <w:b/>
          <w:sz w:val="28"/>
          <w:szCs w:val="28"/>
        </w:rPr>
        <w:t>bekreftet COVID-19</w:t>
      </w:r>
    </w:p>
    <w:p w:rsidR="00FB206A" w:rsidRPr="00FB206A" w:rsidRDefault="00FB206A" w:rsidP="00FB206A">
      <w:pPr>
        <w:jc w:val="center"/>
        <w:rPr>
          <w:b/>
        </w:rPr>
      </w:pPr>
      <w:r w:rsidRPr="00FB206A">
        <w:rPr>
          <w:b/>
        </w:rPr>
        <w:t>Av Sedegheh Gharagozlian Klinisk ernæringsfysiolog</w:t>
      </w:r>
      <w:r>
        <w:rPr>
          <w:b/>
        </w:rPr>
        <w:t xml:space="preserve">, seksjon for klinisk ernæring, Avdeling for klinisk service, OUS, Ullevål </w:t>
      </w:r>
    </w:p>
    <w:p w:rsidR="00BE7743" w:rsidRPr="00A04317" w:rsidRDefault="00BE7743" w:rsidP="00BE7743">
      <w:pPr>
        <w:shd w:val="clear" w:color="auto" w:fill="FFFFFF" w:themeFill="background1"/>
        <w:spacing w:line="240" w:lineRule="auto"/>
      </w:pPr>
      <w:r w:rsidRPr="00A04317">
        <w:t>Pasienter med COVID-19 kan bli kritisk syke</w:t>
      </w:r>
      <w:r w:rsidR="00EF22F0" w:rsidRPr="00A04317">
        <w:t>.</w:t>
      </w:r>
      <w:r w:rsidRPr="00A04317">
        <w:t xml:space="preserve"> </w:t>
      </w:r>
      <w:r w:rsidR="005C0F7A" w:rsidRPr="00A04317">
        <w:t xml:space="preserve">Akutt lungesviktsyndrom (ARDS) er </w:t>
      </w:r>
      <w:r w:rsidR="000374DC">
        <w:t>en forholdsvis</w:t>
      </w:r>
      <w:r w:rsidR="00E63879">
        <w:t xml:space="preserve"> </w:t>
      </w:r>
      <w:r w:rsidR="005C0F7A" w:rsidRPr="00A04317">
        <w:t xml:space="preserve">sjelden tilstand, </w:t>
      </w:r>
      <w:bookmarkStart w:id="0" w:name="OLE_LINK7"/>
      <w:bookmarkStart w:id="1" w:name="OLE_LINK8"/>
      <w:r w:rsidR="005C0F7A" w:rsidRPr="00A04317">
        <w:t>men</w:t>
      </w:r>
      <w:r w:rsidR="00E63879">
        <w:t xml:space="preserve"> er observert som en hyppig</w:t>
      </w:r>
      <w:r w:rsidR="005C0F7A" w:rsidRPr="00A04317">
        <w:t xml:space="preserve"> </w:t>
      </w:r>
      <w:r w:rsidR="00E63879">
        <w:t>komplikasjon hos pasienter med et alvorlig forløp av COVID-19</w:t>
      </w:r>
      <w:bookmarkEnd w:id="0"/>
      <w:bookmarkEnd w:id="1"/>
      <w:r w:rsidR="005C0F7A" w:rsidRPr="00A04317">
        <w:t>. ARDS er</w:t>
      </w:r>
      <w:r w:rsidR="00EF22F0" w:rsidRPr="00A04317">
        <w:t xml:space="preserve"> en</w:t>
      </w:r>
      <w:r w:rsidR="005C0F7A" w:rsidRPr="00A04317">
        <w:t xml:space="preserve"> tilstand</w:t>
      </w:r>
      <w:r w:rsidRPr="00A04317">
        <w:t xml:space="preserve"> karakterisert </w:t>
      </w:r>
      <w:r w:rsidR="00EF22F0" w:rsidRPr="00A04317">
        <w:t>av</w:t>
      </w:r>
      <w:r w:rsidRPr="00A04317">
        <w:t xml:space="preserve"> raskt innsettende lungesvikt og lavt innhold av oksygen i blodet (</w:t>
      </w:r>
      <w:proofErr w:type="spellStart"/>
      <w:r w:rsidRPr="00A04317">
        <w:t>hypoksemi</w:t>
      </w:r>
      <w:proofErr w:type="spellEnd"/>
      <w:r w:rsidRPr="00A04317">
        <w:t>)</w:t>
      </w:r>
      <w:r w:rsidR="00606FE5">
        <w:t xml:space="preserve">. ARDS </w:t>
      </w:r>
      <w:r w:rsidRPr="00A04317">
        <w:t xml:space="preserve">er en viktig årsak til </w:t>
      </w:r>
      <w:r w:rsidR="00E63879">
        <w:t xml:space="preserve">økt </w:t>
      </w:r>
      <w:r w:rsidRPr="00A04317">
        <w:t>sykelighet og dødelighet hos COV</w:t>
      </w:r>
      <w:r w:rsidR="00B10319" w:rsidRPr="00A04317">
        <w:t>ID-19 pasienter. Eldre og voksne</w:t>
      </w:r>
      <w:r w:rsidRPr="00A04317">
        <w:t xml:space="preserve"> </w:t>
      </w:r>
      <w:proofErr w:type="spellStart"/>
      <w:r w:rsidRPr="00A04317">
        <w:t>multimorbide</w:t>
      </w:r>
      <w:proofErr w:type="spellEnd"/>
      <w:r w:rsidRPr="00A04317">
        <w:t xml:space="preserve"> individer </w:t>
      </w:r>
      <w:r w:rsidR="00B10319" w:rsidRPr="00A04317">
        <w:t xml:space="preserve">har </w:t>
      </w:r>
      <w:r w:rsidR="00E63879">
        <w:t>større</w:t>
      </w:r>
      <w:r w:rsidRPr="00A04317">
        <w:t xml:space="preserve"> risiko for alvorlig</w:t>
      </w:r>
      <w:r w:rsidR="00F5332D">
        <w:t>e</w:t>
      </w:r>
      <w:r w:rsidRPr="00A04317">
        <w:t xml:space="preserve"> forløp og høyere dødelighet av COVID-19. Tidlig diagnose og raskt </w:t>
      </w:r>
      <w:r w:rsidR="00F5332D">
        <w:t>igangsatt</w:t>
      </w:r>
      <w:r w:rsidRPr="00A04317">
        <w:t xml:space="preserve"> behandling er avgjørende for å redusere risikoen for død. </w:t>
      </w:r>
    </w:p>
    <w:p w:rsidR="00BE7743" w:rsidRPr="00A04317" w:rsidRDefault="004942E6" w:rsidP="00BE7743">
      <w:r w:rsidRPr="00A04317">
        <w:t>I løpet av kort tid er det kommet nye retningslinje</w:t>
      </w:r>
      <w:r w:rsidR="00126007">
        <w:t>r</w:t>
      </w:r>
      <w:r w:rsidRPr="00A04317">
        <w:t xml:space="preserve"> for behandling </w:t>
      </w:r>
      <w:r w:rsidR="00EF22F0" w:rsidRPr="00A04317">
        <w:t xml:space="preserve">av </w:t>
      </w:r>
      <w:r w:rsidRPr="00A04317">
        <w:t xml:space="preserve">intensivpasienter med COVID-19. </w:t>
      </w:r>
      <w:r w:rsidR="00126007">
        <w:t xml:space="preserve">Internasjonale retningslinjer </w:t>
      </w:r>
      <w:r w:rsidRPr="00A04317">
        <w:t>anbefaler en restriktiv væskebehandling</w:t>
      </w:r>
      <w:r w:rsidR="00126007">
        <w:t xml:space="preserve"> grunnet høy risiko for ekstracellulært lungevann</w:t>
      </w:r>
      <w:r w:rsidR="00405B33">
        <w:t xml:space="preserve"> (1,2)</w:t>
      </w:r>
      <w:r w:rsidRPr="00A04317">
        <w:t>.</w:t>
      </w:r>
      <w:r w:rsidR="00126007">
        <w:t xml:space="preserve"> </w:t>
      </w:r>
      <w:r w:rsidR="00C92C21">
        <w:t>D</w:t>
      </w:r>
      <w:r w:rsidR="006D710C">
        <w:t>et</w:t>
      </w:r>
      <w:r w:rsidR="00C92C21">
        <w:t xml:space="preserve"> finnes </w:t>
      </w:r>
      <w:r w:rsidR="006D710C">
        <w:t xml:space="preserve">foreløpig ikke </w:t>
      </w:r>
      <w:r w:rsidR="00C92C21">
        <w:t>direkte studier på ernæring ved COVID-19-infeksjon</w:t>
      </w:r>
      <w:r w:rsidR="006D710C">
        <w:t xml:space="preserve">. </w:t>
      </w:r>
      <w:r w:rsidR="00C92C21">
        <w:t xml:space="preserve"> </w:t>
      </w:r>
      <w:r w:rsidR="00AE41E0">
        <w:t xml:space="preserve">The </w:t>
      </w:r>
      <w:r w:rsidR="00AE41E0" w:rsidRPr="00AE41E0">
        <w:t xml:space="preserve">European </w:t>
      </w:r>
      <w:proofErr w:type="spellStart"/>
      <w:r w:rsidR="00AE41E0" w:rsidRPr="00AE41E0">
        <w:t>Society</w:t>
      </w:r>
      <w:proofErr w:type="spellEnd"/>
      <w:r w:rsidR="00AE41E0" w:rsidRPr="00AE41E0">
        <w:t xml:space="preserve"> for </w:t>
      </w:r>
      <w:proofErr w:type="spellStart"/>
      <w:r w:rsidR="00AE41E0" w:rsidRPr="00AE41E0">
        <w:t>Clinical</w:t>
      </w:r>
      <w:proofErr w:type="spellEnd"/>
      <w:r w:rsidR="00AE41E0" w:rsidRPr="00AE41E0">
        <w:t xml:space="preserve"> Nutrition &amp; </w:t>
      </w:r>
      <w:proofErr w:type="spellStart"/>
      <w:r w:rsidR="00AE41E0" w:rsidRPr="00AE41E0">
        <w:t>Metabolism</w:t>
      </w:r>
      <w:proofErr w:type="spellEnd"/>
      <w:r w:rsidR="00AE41E0" w:rsidRPr="00AE41E0">
        <w:t xml:space="preserve"> </w:t>
      </w:r>
      <w:r w:rsidR="00AE41E0">
        <w:t>(</w:t>
      </w:r>
      <w:r w:rsidR="00C92C21">
        <w:t>ESPEN</w:t>
      </w:r>
      <w:r w:rsidR="00AE41E0">
        <w:t>)</w:t>
      </w:r>
      <w:r w:rsidR="00405B33">
        <w:t xml:space="preserve"> </w:t>
      </w:r>
      <w:r w:rsidR="004F5F77">
        <w:t>o</w:t>
      </w:r>
      <w:r w:rsidR="00405B33">
        <w:t xml:space="preserve">g </w:t>
      </w:r>
      <w:r w:rsidR="00405B33" w:rsidRPr="00405B33">
        <w:t xml:space="preserve">The American </w:t>
      </w:r>
      <w:proofErr w:type="spellStart"/>
      <w:r w:rsidR="00405B33" w:rsidRPr="00405B33">
        <w:t>Society</w:t>
      </w:r>
      <w:proofErr w:type="spellEnd"/>
      <w:r w:rsidR="00405B33" w:rsidRPr="00405B33">
        <w:t xml:space="preserve"> for Parenteral and Enteral Nutrition (ASPEN) </w:t>
      </w:r>
      <w:r w:rsidR="006D710C">
        <w:t xml:space="preserve">har </w:t>
      </w:r>
      <w:r w:rsidR="00C92C21">
        <w:t>benyttet eksisterende retningslinjer</w:t>
      </w:r>
      <w:r w:rsidR="006D710C">
        <w:t xml:space="preserve"> for utarbeidelse av ernæringsbehandling av pasienter med COVID-19. Disse retningslinjene er blant annet basert på</w:t>
      </w:r>
      <w:r w:rsidR="00C92C21">
        <w:t xml:space="preserve"> intensivernæring hos voksne pasienter, samt retningslinjer</w:t>
      </w:r>
      <w:r w:rsidR="00126007">
        <w:t xml:space="preserve"> for eldre og voksne </w:t>
      </w:r>
      <w:proofErr w:type="spellStart"/>
      <w:r w:rsidR="00126007">
        <w:t>multimorbide</w:t>
      </w:r>
      <w:proofErr w:type="spellEnd"/>
      <w:r w:rsidR="00126007">
        <w:t xml:space="preserve"> pasienter</w:t>
      </w:r>
      <w:r w:rsidR="006D710C">
        <w:t>.</w:t>
      </w:r>
      <w:r w:rsidR="00BD5AA3">
        <w:t>(3-6</w:t>
      </w:r>
      <w:r w:rsidR="00AF2192">
        <w:t>)</w:t>
      </w:r>
      <w:r w:rsidR="00C92C21">
        <w:t xml:space="preserve">. </w:t>
      </w:r>
      <w:r w:rsidR="00BE7743" w:rsidRPr="00A04317">
        <w:t xml:space="preserve">The British </w:t>
      </w:r>
      <w:proofErr w:type="spellStart"/>
      <w:r w:rsidR="00BE7743" w:rsidRPr="00A04317">
        <w:t>Dietetic</w:t>
      </w:r>
      <w:proofErr w:type="spellEnd"/>
      <w:r w:rsidR="00BE7743" w:rsidRPr="00A04317">
        <w:t xml:space="preserve"> Association (BDA) har </w:t>
      </w:r>
      <w:r w:rsidR="006D710C">
        <w:t xml:space="preserve">i større grad vektlagt </w:t>
      </w:r>
      <w:bookmarkStart w:id="2" w:name="OLE_LINK19"/>
      <w:r w:rsidR="00AA2353" w:rsidRPr="00AA2353">
        <w:t>toleranse for enteral ernæring</w:t>
      </w:r>
      <w:bookmarkEnd w:id="2"/>
      <w:r w:rsidR="00FB57C3">
        <w:t xml:space="preserve"> og </w:t>
      </w:r>
      <w:r w:rsidR="006D710C">
        <w:t xml:space="preserve">mindre fokus på </w:t>
      </w:r>
      <w:r w:rsidR="00FB57C3">
        <w:t>væskerestriksjon</w:t>
      </w:r>
      <w:r w:rsidR="005970ED" w:rsidRPr="00A04317">
        <w:t>.</w:t>
      </w:r>
      <w:r w:rsidR="006D710C">
        <w:t xml:space="preserve"> Derfor har det frem til nå blitt anbefalt 1,3-1,5 kcal sondeløsninger, men de har nå </w:t>
      </w:r>
      <w:r w:rsidR="00985A2E">
        <w:t xml:space="preserve">i tillegg anbefalt å </w:t>
      </w:r>
      <w:r w:rsidR="006D710C">
        <w:t>bruk</w:t>
      </w:r>
      <w:r w:rsidR="00985A2E">
        <w:t>e</w:t>
      </w:r>
      <w:r w:rsidR="00BE7743" w:rsidRPr="00A04317">
        <w:t xml:space="preserve"> 2 kcal sondeløsning</w:t>
      </w:r>
      <w:r w:rsidR="00FB206A">
        <w:t xml:space="preserve"> ved væskerestriksjon</w:t>
      </w:r>
      <w:r w:rsidR="00405B33">
        <w:t xml:space="preserve"> (</w:t>
      </w:r>
      <w:r w:rsidR="0056492F">
        <w:t>7</w:t>
      </w:r>
      <w:r w:rsidR="00405B33">
        <w:t>)</w:t>
      </w:r>
      <w:r w:rsidR="00D53013">
        <w:t>.</w:t>
      </w:r>
      <w:r w:rsidR="00BE7743" w:rsidRPr="00A04317">
        <w:t xml:space="preserve"> </w:t>
      </w:r>
    </w:p>
    <w:p w:rsidR="008A519F" w:rsidRDefault="00787430" w:rsidP="00BE7743">
      <w:r>
        <w:t xml:space="preserve">Ernæringsbehandling av intensivpasienter er ikke et nytt fagfelt. For kritisk syke </w:t>
      </w:r>
      <w:r w:rsidR="004942E6" w:rsidRPr="00A04317">
        <w:t xml:space="preserve">anbefales </w:t>
      </w:r>
      <w:r w:rsidR="004B329E">
        <w:t>generelt en</w:t>
      </w:r>
      <w:r w:rsidR="00BE7743" w:rsidRPr="00A04317">
        <w:t xml:space="preserve"> tidlig, </w:t>
      </w:r>
      <w:proofErr w:type="spellStart"/>
      <w:r w:rsidR="00BE7743" w:rsidRPr="00A04317">
        <w:t>hypokalorisk</w:t>
      </w:r>
      <w:proofErr w:type="spellEnd"/>
      <w:r w:rsidR="00BE7743" w:rsidRPr="00A04317">
        <w:t xml:space="preserve"> enteral ernæring (EN) fremfor parenteral ernæring (PN)</w:t>
      </w:r>
      <w:r w:rsidR="00EF22F0" w:rsidRPr="00A04317">
        <w:t xml:space="preserve"> </w:t>
      </w:r>
      <w:r w:rsidR="006D710C">
        <w:t xml:space="preserve">ved fungerende </w:t>
      </w:r>
      <w:r w:rsidR="00BE7743" w:rsidRPr="00A04317">
        <w:t>mage- og tarmkanal</w:t>
      </w:r>
      <w:r w:rsidR="00405B33">
        <w:t xml:space="preserve"> (</w:t>
      </w:r>
      <w:r w:rsidR="0056492F">
        <w:t>3-6</w:t>
      </w:r>
      <w:r w:rsidR="00405B33">
        <w:t>)</w:t>
      </w:r>
      <w:r w:rsidR="00BE7743" w:rsidRPr="00A04317">
        <w:t xml:space="preserve">. </w:t>
      </w:r>
      <w:r w:rsidR="00697217">
        <w:t>ESPEN</w:t>
      </w:r>
      <w:r w:rsidR="00697217" w:rsidRPr="00A04317">
        <w:t xml:space="preserve"> </w:t>
      </w:r>
      <w:r w:rsidR="00BE7743" w:rsidRPr="00A04317">
        <w:t>anbefale</w:t>
      </w:r>
      <w:r w:rsidR="00697217">
        <w:t>r</w:t>
      </w:r>
      <w:r w:rsidR="00BE7743" w:rsidRPr="00A04317">
        <w:t xml:space="preserve"> å bruke 50-70</w:t>
      </w:r>
      <w:r w:rsidR="00F976C5">
        <w:t xml:space="preserve"> </w:t>
      </w:r>
      <w:r w:rsidR="00BE7743" w:rsidRPr="00A04317">
        <w:t xml:space="preserve">% av pasientens </w:t>
      </w:r>
      <w:r w:rsidR="00C92C21">
        <w:t xml:space="preserve">estimerte </w:t>
      </w:r>
      <w:r w:rsidR="00F976C5">
        <w:t>energi</w:t>
      </w:r>
      <w:r w:rsidR="00BE7743" w:rsidRPr="00A04317">
        <w:t>behov de to første døgn</w:t>
      </w:r>
      <w:r w:rsidR="00985A2E">
        <w:t xml:space="preserve"> etter oppstart av ernæring</w:t>
      </w:r>
      <w:r w:rsidR="00BE7743" w:rsidRPr="00A04317">
        <w:t>, med gradvis opptrapping til fullernæring, 80-100</w:t>
      </w:r>
      <w:r w:rsidR="00F976C5">
        <w:t xml:space="preserve"> </w:t>
      </w:r>
      <w:r w:rsidR="00BE7743" w:rsidRPr="00A04317">
        <w:t>%</w:t>
      </w:r>
      <w:r w:rsidR="00EF22F0" w:rsidRPr="00A04317">
        <w:t xml:space="preserve"> av behov</w:t>
      </w:r>
      <w:r w:rsidR="00BE7743" w:rsidRPr="00A04317">
        <w:t xml:space="preserve">, etter dag 3. Dersom </w:t>
      </w:r>
      <w:bookmarkStart w:id="3" w:name="OLE_LINK1"/>
      <w:bookmarkStart w:id="4" w:name="OLE_LINK2"/>
      <w:r w:rsidR="00BE7743" w:rsidRPr="00A04317">
        <w:t xml:space="preserve">EN ikke er tilstrekkelig for å nå </w:t>
      </w:r>
      <w:r w:rsidR="00C92C21">
        <w:t xml:space="preserve">estimert </w:t>
      </w:r>
      <w:r w:rsidR="00F976C5">
        <w:t>energi</w:t>
      </w:r>
      <w:r w:rsidR="00BE7743" w:rsidRPr="00A04317">
        <w:t>behov bør EN suppleres med PN på 3.–7</w:t>
      </w:r>
      <w:r w:rsidR="00D80CB7">
        <w:t>.</w:t>
      </w:r>
      <w:r w:rsidR="00BD5AA3">
        <w:t xml:space="preserve"> </w:t>
      </w:r>
      <w:r w:rsidR="00BE7743" w:rsidRPr="00A04317">
        <w:t>intensivdøg</w:t>
      </w:r>
      <w:bookmarkEnd w:id="3"/>
      <w:bookmarkEnd w:id="4"/>
      <w:r w:rsidR="00BE7743" w:rsidRPr="00A04317">
        <w:t>n</w:t>
      </w:r>
      <w:r w:rsidR="006D710C">
        <w:t xml:space="preserve"> (5,6)</w:t>
      </w:r>
      <w:r w:rsidR="00BE7743" w:rsidRPr="00A04317">
        <w:t xml:space="preserve">. </w:t>
      </w:r>
      <w:bookmarkStart w:id="5" w:name="OLE_LINK41"/>
      <w:bookmarkStart w:id="6" w:name="OLE_LINK42"/>
      <w:bookmarkStart w:id="7" w:name="OLE_LINK24"/>
      <w:r w:rsidR="005E2BBF">
        <w:t xml:space="preserve">Internasjonalt er det en viss diskrepans for når oppstart </w:t>
      </w:r>
      <w:r w:rsidR="00697217">
        <w:t xml:space="preserve">av PN bør startes. </w:t>
      </w:r>
      <w:r w:rsidR="00F43C92">
        <w:t xml:space="preserve">ASPEN </w:t>
      </w:r>
      <w:r w:rsidR="005E2BBF">
        <w:t>anbefaler</w:t>
      </w:r>
      <w:r w:rsidR="00D80CB7">
        <w:t xml:space="preserve"> </w:t>
      </w:r>
      <w:r w:rsidR="00F43C92">
        <w:t>en senere</w:t>
      </w:r>
      <w:r w:rsidR="00697217">
        <w:t xml:space="preserve"> </w:t>
      </w:r>
      <w:r w:rsidR="005E2BBF">
        <w:t xml:space="preserve">oppstart av PN </w:t>
      </w:r>
      <w:r w:rsidR="00697217">
        <w:t>enn</w:t>
      </w:r>
      <w:r w:rsidR="00F43C92" w:rsidRPr="00F43C92">
        <w:t xml:space="preserve"> </w:t>
      </w:r>
      <w:r w:rsidR="00F43C92">
        <w:t>ESPEN</w:t>
      </w:r>
      <w:r w:rsidR="00697217">
        <w:t>.</w:t>
      </w:r>
      <w:bookmarkEnd w:id="5"/>
      <w:bookmarkEnd w:id="6"/>
      <w:r w:rsidR="00697217">
        <w:t xml:space="preserve"> </w:t>
      </w:r>
      <w:r w:rsidR="00F43C92">
        <w:t>Likevel anbefaler</w:t>
      </w:r>
      <w:r w:rsidR="00E640C8">
        <w:t xml:space="preserve"> ASPEN </w:t>
      </w:r>
      <w:r w:rsidR="00F43C92">
        <w:t xml:space="preserve">å </w:t>
      </w:r>
      <w:r w:rsidR="00E640C8">
        <w:t xml:space="preserve">sette i gang PN så snart som mulig hos pasienter </w:t>
      </w:r>
      <w:r w:rsidR="00F43C92">
        <w:t xml:space="preserve">med COVID-19 </w:t>
      </w:r>
      <w:r w:rsidR="00E640C8">
        <w:t xml:space="preserve">med høy risiko når EN </w:t>
      </w:r>
      <w:r w:rsidR="00F43C92" w:rsidRPr="00F43C92">
        <w:t>ikke er mulig</w:t>
      </w:r>
      <w:r w:rsidR="00F43C92">
        <w:t xml:space="preserve"> å gjennomføre eller ikke er tilstrekkelig</w:t>
      </w:r>
      <w:r w:rsidR="005E2BBF">
        <w:t xml:space="preserve">. </w:t>
      </w:r>
      <w:bookmarkEnd w:id="7"/>
      <w:r w:rsidR="00FB1B26">
        <w:t>Pasienter</w:t>
      </w:r>
      <w:r w:rsidR="00FB1B26" w:rsidRPr="00FB1B26">
        <w:t xml:space="preserve"> med høy risiko omfatter de med sepsis eller behandling med </w:t>
      </w:r>
      <w:proofErr w:type="spellStart"/>
      <w:r w:rsidR="00FB1B26" w:rsidRPr="00FB1B26">
        <w:t>vasopressor</w:t>
      </w:r>
      <w:proofErr w:type="spellEnd"/>
      <w:r w:rsidR="00C20D54">
        <w:t xml:space="preserve">, eller når oksygenbehandling </w:t>
      </w:r>
      <w:r w:rsidR="00FB1B26" w:rsidRPr="00FB1B26">
        <w:t>(</w:t>
      </w:r>
      <w:r w:rsidR="00C20D54">
        <w:t>NIV, CPAP, eller PEEP) er</w:t>
      </w:r>
      <w:r w:rsidR="00BE7743" w:rsidRPr="00A04317">
        <w:t xml:space="preserve"> </w:t>
      </w:r>
      <w:r w:rsidR="00C20D54" w:rsidRPr="00C20D54">
        <w:t>nødvendig</w:t>
      </w:r>
      <w:r w:rsidR="00405B33">
        <w:t xml:space="preserve"> (4</w:t>
      </w:r>
      <w:r w:rsidR="008A519F">
        <w:t>)</w:t>
      </w:r>
      <w:r w:rsidR="00E640C8">
        <w:t xml:space="preserve">. </w:t>
      </w:r>
    </w:p>
    <w:p w:rsidR="00F31B12" w:rsidRDefault="005742B9" w:rsidP="00BE7743">
      <w:bookmarkStart w:id="8" w:name="OLE_LINK82"/>
      <w:bookmarkStart w:id="9" w:name="OLE_LINK83"/>
      <w:r w:rsidRPr="005742B9">
        <w:t xml:space="preserve">Det er derfor viktig å </w:t>
      </w:r>
      <w:r w:rsidR="00E02AAF" w:rsidRPr="00E02AAF">
        <w:t>Kritisk</w:t>
      </w:r>
      <w:r w:rsidR="00E02AAF">
        <w:t xml:space="preserve"> syke pasienter med COVID-19</w:t>
      </w:r>
      <w:r w:rsidR="00E02AAF" w:rsidRPr="00E02AAF">
        <w:t xml:space="preserve"> er ofte i risiko for å få </w:t>
      </w:r>
      <w:proofErr w:type="spellStart"/>
      <w:r w:rsidR="00E02AAF" w:rsidRPr="00E02AAF">
        <w:t>reernæringssyndrom</w:t>
      </w:r>
      <w:proofErr w:type="spellEnd"/>
      <w:r w:rsidR="00E02AAF">
        <w:t xml:space="preserve"> </w:t>
      </w:r>
      <w:r w:rsidR="00E02AAF" w:rsidRPr="00E02AAF">
        <w:t>på bakgrunn av lavt/manglende matinntak</w:t>
      </w:r>
      <w:bookmarkEnd w:id="8"/>
      <w:bookmarkEnd w:id="9"/>
      <w:r w:rsidR="00E02AAF">
        <w:t xml:space="preserve"> </w:t>
      </w:r>
      <w:r w:rsidR="00A72754">
        <w:t>og utmattelse</w:t>
      </w:r>
      <w:r w:rsidR="00A72754" w:rsidRPr="00A72754">
        <w:t xml:space="preserve"> </w:t>
      </w:r>
      <w:r w:rsidR="00A72754">
        <w:t xml:space="preserve">før sykehusinnleggelse. </w:t>
      </w:r>
      <w:bookmarkStart w:id="10" w:name="OLE_LINK78"/>
      <w:r w:rsidR="00A72754">
        <w:t>Da er det ekstra viktig å være varsom med opptrapping av ernæring, samt gi tiamin</w:t>
      </w:r>
      <w:r w:rsidR="00F31B12">
        <w:t>. Det anbefales å</w:t>
      </w:r>
      <w:r w:rsidR="00A72754">
        <w:t xml:space="preserve"> </w:t>
      </w:r>
      <w:r w:rsidR="00F31B12">
        <w:t>starte</w:t>
      </w:r>
      <w:r w:rsidR="00A72754">
        <w:t xml:space="preserve"> med ca. 25% av kaloribehovet</w:t>
      </w:r>
      <w:r w:rsidR="00A72754" w:rsidRPr="00A72754">
        <w:t xml:space="preserve">, </w:t>
      </w:r>
      <w:r w:rsidR="00A72754">
        <w:t>enteralt eller parenteralt</w:t>
      </w:r>
      <w:r w:rsidR="00F31B12">
        <w:t xml:space="preserve"> de </w:t>
      </w:r>
      <w:r w:rsidR="00A72754" w:rsidRPr="00A72754">
        <w:t xml:space="preserve">første 72 timene med </w:t>
      </w:r>
      <w:r w:rsidR="00F31B12">
        <w:t>ernæring</w:t>
      </w:r>
      <w:r w:rsidR="00A72754" w:rsidRPr="00A72754">
        <w:t xml:space="preserve"> </w:t>
      </w:r>
      <w:r w:rsidR="00F31B12">
        <w:t xml:space="preserve">og følge elektrolytter mens man </w:t>
      </w:r>
      <w:bookmarkStart w:id="11" w:name="OLE_LINK80"/>
      <w:bookmarkStart w:id="12" w:name="OLE_LINK81"/>
      <w:r w:rsidR="00F31B12">
        <w:t>kaloritilførselen økes gradvis</w:t>
      </w:r>
      <w:r w:rsidR="00E02AAF">
        <w:t xml:space="preserve"> (3-6,10)</w:t>
      </w:r>
      <w:r w:rsidR="00F31B12">
        <w:t xml:space="preserve">. </w:t>
      </w:r>
      <w:bookmarkEnd w:id="11"/>
      <w:bookmarkEnd w:id="12"/>
    </w:p>
    <w:bookmarkEnd w:id="10"/>
    <w:p w:rsidR="00F5332D" w:rsidRDefault="00EF22F0" w:rsidP="00BE7743">
      <w:r w:rsidRPr="00A04317">
        <w:t>I</w:t>
      </w:r>
      <w:r w:rsidR="00BE7743" w:rsidRPr="00A04317">
        <w:t xml:space="preserve">ntensivpasienter </w:t>
      </w:r>
      <w:r w:rsidRPr="00A04317">
        <w:t>har generelt</w:t>
      </w:r>
      <w:r w:rsidR="00F976C5">
        <w:t xml:space="preserve"> økt</w:t>
      </w:r>
      <w:r w:rsidRPr="00A04317">
        <w:t xml:space="preserve"> </w:t>
      </w:r>
      <w:r w:rsidR="00BE7743" w:rsidRPr="00A04317">
        <w:t xml:space="preserve">risiko for høyt gastrisk restvolum (GRV) og det </w:t>
      </w:r>
      <w:r w:rsidRPr="00A04317">
        <w:t xml:space="preserve">kan </w:t>
      </w:r>
      <w:r w:rsidR="00BE7743" w:rsidRPr="00A04317">
        <w:t xml:space="preserve">bli vanskelig å øke sondeløsningen </w:t>
      </w:r>
      <w:r w:rsidR="003B0577" w:rsidRPr="00A04317">
        <w:t xml:space="preserve">opp til </w:t>
      </w:r>
      <w:r w:rsidR="00C92C21">
        <w:t>estimert energi</w:t>
      </w:r>
      <w:r w:rsidR="003B0577" w:rsidRPr="00A04317">
        <w:t>behov</w:t>
      </w:r>
      <w:r w:rsidR="00BE7743" w:rsidRPr="00A04317">
        <w:t xml:space="preserve"> i</w:t>
      </w:r>
      <w:r w:rsidR="00C92C21">
        <w:t xml:space="preserve"> løpet av</w:t>
      </w:r>
      <w:r w:rsidR="00BE7743" w:rsidRPr="00A04317">
        <w:t xml:space="preserve"> 4 dager. </w:t>
      </w:r>
      <w:r w:rsidR="00F976C5">
        <w:t xml:space="preserve">For å bedre </w:t>
      </w:r>
      <w:proofErr w:type="spellStart"/>
      <w:r w:rsidR="00F976C5">
        <w:t>oksygenering</w:t>
      </w:r>
      <w:r w:rsidR="00E640C8">
        <w:t>en</w:t>
      </w:r>
      <w:proofErr w:type="spellEnd"/>
      <w:r w:rsidR="00F976C5">
        <w:t xml:space="preserve"> hos pasienter med ARDS benyttes r</w:t>
      </w:r>
      <w:r w:rsidR="00BE7743" w:rsidRPr="00A04317">
        <w:t xml:space="preserve">espiratorbehandling i mageleie. </w:t>
      </w:r>
      <w:r w:rsidR="00606FE5">
        <w:t xml:space="preserve">Mageleie er i seg selv ikke en kontraindikasjon </w:t>
      </w:r>
      <w:r w:rsidR="00F976C5">
        <w:t>for</w:t>
      </w:r>
      <w:r w:rsidR="00606FE5">
        <w:t xml:space="preserve"> enteral ernæring</w:t>
      </w:r>
      <w:r w:rsidR="008A519F">
        <w:t xml:space="preserve"> og de fleste pasienter tåler det</w:t>
      </w:r>
      <w:r w:rsidR="00F5332D">
        <w:t xml:space="preserve">, men det vil være spesielt viktig å </w:t>
      </w:r>
      <w:proofErr w:type="spellStart"/>
      <w:r w:rsidR="00F5332D">
        <w:t>monitorere</w:t>
      </w:r>
      <w:proofErr w:type="spellEnd"/>
      <w:r w:rsidR="00F5332D">
        <w:t xml:space="preserve"> toleranse for sondemat og iverksette nødvendige tiltak ved behov for å unngå</w:t>
      </w:r>
      <w:r w:rsidR="008A519F">
        <w:t xml:space="preserve"> komplikasjoner som aspirasjon </w:t>
      </w:r>
      <w:r w:rsidR="00AF2192">
        <w:t>(</w:t>
      </w:r>
      <w:r w:rsidR="0056492F">
        <w:t>4,7-9</w:t>
      </w:r>
      <w:r w:rsidR="00254084" w:rsidRPr="00A04317">
        <w:t>)</w:t>
      </w:r>
      <w:r w:rsidR="00BE7743" w:rsidRPr="00A04317">
        <w:t xml:space="preserve">. </w:t>
      </w:r>
      <w:r w:rsidR="00F5332D">
        <w:t>For</w:t>
      </w:r>
      <w:r w:rsidR="00BE7743" w:rsidRPr="00A04317">
        <w:t xml:space="preserve"> å</w:t>
      </w:r>
      <w:r w:rsidR="007745A7">
        <w:t xml:space="preserve"> opprettholde tilførsel av ernæring enteralt:</w:t>
      </w:r>
    </w:p>
    <w:p w:rsidR="007745A7" w:rsidRDefault="00E640C8" w:rsidP="00B86BB5">
      <w:pPr>
        <w:pStyle w:val="Listeavsnitt"/>
        <w:numPr>
          <w:ilvl w:val="0"/>
          <w:numId w:val="1"/>
        </w:numPr>
      </w:pPr>
      <w:bookmarkStart w:id="13" w:name="OLE_LINK18"/>
      <w:bookmarkStart w:id="14" w:name="OLE_LINK17"/>
      <w:r>
        <w:t>T</w:t>
      </w:r>
      <w:r w:rsidR="00F5332D">
        <w:t>ilførsel av sondemat</w:t>
      </w:r>
      <w:bookmarkEnd w:id="13"/>
      <w:bookmarkEnd w:id="14"/>
      <w:r w:rsidR="00F5332D" w:rsidDel="00F5332D">
        <w:t xml:space="preserve"> </w:t>
      </w:r>
      <w:r>
        <w:t xml:space="preserve">bør </w:t>
      </w:r>
      <w:r w:rsidR="004F10E8" w:rsidRPr="007B01EB">
        <w:t>holde</w:t>
      </w:r>
      <w:r w:rsidR="007745A7">
        <w:t xml:space="preserve">s ved </w:t>
      </w:r>
      <w:r w:rsidR="004F10E8" w:rsidRPr="007B01EB">
        <w:t>hasti</w:t>
      </w:r>
      <w:r w:rsidR="004F10E8">
        <w:t xml:space="preserve">ghet </w:t>
      </w:r>
      <w:r w:rsidR="007745A7">
        <w:t xml:space="preserve">på </w:t>
      </w:r>
      <w:proofErr w:type="spellStart"/>
      <w:r w:rsidR="007745A7">
        <w:t>ca</w:t>
      </w:r>
      <w:proofErr w:type="spellEnd"/>
      <w:r w:rsidR="007745A7">
        <w:t xml:space="preserve"> </w:t>
      </w:r>
      <w:r w:rsidR="00B86BB5">
        <w:t xml:space="preserve">10 - </w:t>
      </w:r>
      <w:r w:rsidR="004F10E8">
        <w:t>20</w:t>
      </w:r>
      <w:r w:rsidR="004F10E8" w:rsidRPr="007B01EB">
        <w:t xml:space="preserve"> ml/t</w:t>
      </w:r>
      <w:r w:rsidR="004F10E8" w:rsidRPr="007745A7">
        <w:rPr>
          <w:rFonts w:ascii="Calibri" w:eastAsia="Calibri" w:hAnsi="Calibri" w:cs="Times New Roman"/>
          <w:noProof/>
          <w:lang w:eastAsia="nb-NO"/>
        </w:rPr>
        <w:t xml:space="preserve"> ved mageleie</w:t>
      </w:r>
      <w:r w:rsidR="004F10E8" w:rsidRPr="007B01EB">
        <w:t>. Øk heller hastigheten gradvis når pasienten ligger i ryggleie</w:t>
      </w:r>
    </w:p>
    <w:p w:rsidR="007745A7" w:rsidRPr="00405B33" w:rsidRDefault="007745A7" w:rsidP="00405B33">
      <w:pPr>
        <w:pStyle w:val="Listeavsnitt"/>
        <w:numPr>
          <w:ilvl w:val="0"/>
          <w:numId w:val="1"/>
        </w:numPr>
        <w:rPr>
          <w:rFonts w:ascii="Calibri" w:eastAsia="Calibri" w:hAnsi="Calibri" w:cs="Times New Roman"/>
          <w:noProof/>
          <w:lang w:eastAsia="nb-NO"/>
        </w:rPr>
      </w:pPr>
      <w:r>
        <w:lastRenderedPageBreak/>
        <w:t>Må</w:t>
      </w:r>
      <w:r w:rsidR="003F2B71">
        <w:t xml:space="preserve">l </w:t>
      </w:r>
      <w:r w:rsidR="00EC201F" w:rsidRPr="00405B33">
        <w:rPr>
          <w:rFonts w:ascii="Calibri" w:eastAsia="Calibri" w:hAnsi="Calibri" w:cs="Times New Roman"/>
          <w:noProof/>
          <w:lang w:eastAsia="nb-NO"/>
        </w:rPr>
        <w:t>GRV rutinemessig hver 4. time</w:t>
      </w:r>
      <w:r w:rsidR="004F10E8" w:rsidRPr="00405B33">
        <w:rPr>
          <w:rFonts w:ascii="Calibri" w:eastAsia="Calibri" w:hAnsi="Calibri" w:cs="Times New Roman"/>
          <w:noProof/>
          <w:lang w:eastAsia="nb-NO"/>
        </w:rPr>
        <w:t xml:space="preserve">, </w:t>
      </w:r>
      <w:r w:rsidR="00EC201F" w:rsidRPr="00405B33">
        <w:rPr>
          <w:rFonts w:ascii="Calibri" w:eastAsia="Calibri" w:hAnsi="Calibri" w:cs="Times New Roman"/>
          <w:noProof/>
          <w:lang w:eastAsia="nb-NO"/>
        </w:rPr>
        <w:t>GRV</w:t>
      </w:r>
      <w:r w:rsidR="004F10E8" w:rsidRPr="00405B33">
        <w:rPr>
          <w:rFonts w:ascii="Calibri" w:eastAsia="Calibri" w:hAnsi="Calibri" w:cs="Times New Roman"/>
          <w:noProof/>
          <w:lang w:eastAsia="nb-NO"/>
        </w:rPr>
        <w:t xml:space="preserve"> bør ikke være mer enn 250-300 ml</w:t>
      </w:r>
      <w:r w:rsidR="00405B33" w:rsidRPr="00405B33">
        <w:rPr>
          <w:rFonts w:ascii="Calibri" w:eastAsia="Calibri" w:hAnsi="Calibri" w:cs="Times New Roman"/>
          <w:noProof/>
          <w:lang w:eastAsia="nb-NO"/>
        </w:rPr>
        <w:t>. Bruk fortrinnsvis et lukket system for aspirasjon</w:t>
      </w:r>
      <w:r w:rsidR="00405B33">
        <w:rPr>
          <w:rFonts w:ascii="Calibri" w:eastAsia="Calibri" w:hAnsi="Calibri" w:cs="Times New Roman"/>
          <w:noProof/>
          <w:lang w:eastAsia="nb-NO"/>
        </w:rPr>
        <w:t xml:space="preserve"> for å </w:t>
      </w:r>
      <w:r w:rsidR="00405B33" w:rsidRPr="00405B33">
        <w:rPr>
          <w:rFonts w:ascii="Calibri" w:eastAsia="Calibri" w:hAnsi="Calibri" w:cs="Times New Roman"/>
          <w:noProof/>
          <w:lang w:eastAsia="nb-NO"/>
        </w:rPr>
        <w:t>redusere risiko for dråpesmitte</w:t>
      </w:r>
    </w:p>
    <w:p w:rsidR="007745A7" w:rsidRDefault="007745A7" w:rsidP="00B86BB5">
      <w:pPr>
        <w:pStyle w:val="Listeavsnitt"/>
        <w:numPr>
          <w:ilvl w:val="0"/>
          <w:numId w:val="1"/>
        </w:numPr>
      </w:pPr>
      <w:r>
        <w:t>S</w:t>
      </w:r>
      <w:r w:rsidR="00676B82">
        <w:t xml:space="preserve">tans sondeernæring </w:t>
      </w:r>
      <w:r w:rsidR="00E640C8">
        <w:t xml:space="preserve">i forbindelse med </w:t>
      </w:r>
      <w:r w:rsidR="00676B82" w:rsidRPr="00676B82">
        <w:t>stillingsendring</w:t>
      </w:r>
      <w:r w:rsidR="00676B82">
        <w:t xml:space="preserve"> </w:t>
      </w:r>
    </w:p>
    <w:p w:rsidR="00396BF2" w:rsidRPr="00B86BB5" w:rsidRDefault="00396BF2" w:rsidP="00B86BB5">
      <w:pPr>
        <w:pStyle w:val="Listeavsnitt"/>
        <w:numPr>
          <w:ilvl w:val="0"/>
          <w:numId w:val="1"/>
        </w:numPr>
      </w:pPr>
      <w:r>
        <w:t xml:space="preserve">Benytt </w:t>
      </w:r>
      <w:r w:rsidR="004F10E8">
        <w:t>prokinetiske medikament</w:t>
      </w:r>
      <w:r>
        <w:t>er</w:t>
      </w:r>
      <w:r w:rsidR="004F10E8">
        <w:t xml:space="preserve"> ved høy GRV</w:t>
      </w:r>
      <w:r>
        <w:t xml:space="preserve"> (&gt;300 ml)</w:t>
      </w:r>
    </w:p>
    <w:p w:rsidR="007745A7" w:rsidRDefault="00B86BB5" w:rsidP="00B86BB5">
      <w:pPr>
        <w:pStyle w:val="Listeavsnitt"/>
        <w:numPr>
          <w:ilvl w:val="0"/>
          <w:numId w:val="1"/>
        </w:numPr>
      </w:pPr>
      <w:r>
        <w:rPr>
          <w:rFonts w:ascii="Calibri" w:eastAsia="Calibri" w:hAnsi="Calibri" w:cs="Times New Roman"/>
          <w:noProof/>
          <w:lang w:eastAsia="nb-NO"/>
        </w:rPr>
        <w:t>Tipp hele</w:t>
      </w:r>
      <w:r w:rsidR="00396BF2">
        <w:rPr>
          <w:rFonts w:ascii="Calibri" w:eastAsia="Calibri" w:hAnsi="Calibri" w:cs="Times New Roman"/>
          <w:noProof/>
          <w:lang w:eastAsia="nb-NO"/>
        </w:rPr>
        <w:t xml:space="preserve"> seng</w:t>
      </w:r>
      <w:r w:rsidR="00E640C8">
        <w:rPr>
          <w:rFonts w:ascii="Calibri" w:eastAsia="Calibri" w:hAnsi="Calibri" w:cs="Times New Roman"/>
          <w:noProof/>
          <w:lang w:eastAsia="nb-NO"/>
        </w:rPr>
        <w:t xml:space="preserve">en til </w:t>
      </w:r>
      <w:r w:rsidR="00EB2EBC" w:rsidRPr="007745A7">
        <w:rPr>
          <w:rFonts w:ascii="Calibri" w:eastAsia="Calibri" w:hAnsi="Calibri" w:cs="Times New Roman"/>
          <w:noProof/>
          <w:lang w:eastAsia="nb-NO"/>
        </w:rPr>
        <w:t xml:space="preserve"> 15 grader ved mageleie, samt </w:t>
      </w:r>
      <w:r w:rsidR="00E640C8">
        <w:rPr>
          <w:rFonts w:ascii="Calibri" w:eastAsia="Calibri" w:hAnsi="Calibri" w:cs="Times New Roman"/>
          <w:noProof/>
          <w:lang w:eastAsia="nb-NO"/>
        </w:rPr>
        <w:t xml:space="preserve">husk å </w:t>
      </w:r>
      <w:r w:rsidR="00FB3843">
        <w:rPr>
          <w:rFonts w:ascii="Calibri" w:eastAsia="Calibri" w:hAnsi="Calibri" w:cs="Times New Roman"/>
          <w:noProof/>
          <w:lang w:eastAsia="nb-NO"/>
        </w:rPr>
        <w:t>he</w:t>
      </w:r>
      <w:r>
        <w:rPr>
          <w:rFonts w:ascii="Calibri" w:eastAsia="Calibri" w:hAnsi="Calibri" w:cs="Times New Roman"/>
          <w:noProof/>
          <w:lang w:eastAsia="nb-NO"/>
        </w:rPr>
        <w:t xml:space="preserve">ve </w:t>
      </w:r>
      <w:r w:rsidRPr="00B86BB5">
        <w:rPr>
          <w:rFonts w:ascii="Calibri" w:eastAsia="Calibri" w:hAnsi="Calibri" w:cs="Times New Roman"/>
          <w:noProof/>
          <w:lang w:eastAsia="nb-NO"/>
        </w:rPr>
        <w:t xml:space="preserve">hodeende </w:t>
      </w:r>
      <w:r w:rsidR="00EB2EBC" w:rsidRPr="007745A7">
        <w:rPr>
          <w:rFonts w:ascii="Calibri" w:eastAsia="Calibri" w:hAnsi="Calibri" w:cs="Times New Roman"/>
          <w:noProof/>
          <w:lang w:eastAsia="nb-NO"/>
        </w:rPr>
        <w:t xml:space="preserve">&gt;30 </w:t>
      </w:r>
      <w:r w:rsidR="00E640C8">
        <w:rPr>
          <w:rFonts w:ascii="Calibri" w:eastAsia="Calibri" w:hAnsi="Calibri" w:cs="Times New Roman"/>
          <w:noProof/>
          <w:lang w:eastAsia="nb-NO"/>
        </w:rPr>
        <w:t xml:space="preserve">grader </w:t>
      </w:r>
      <w:r w:rsidR="00EB2EBC" w:rsidRPr="007745A7">
        <w:rPr>
          <w:rFonts w:ascii="Calibri" w:eastAsia="Calibri" w:hAnsi="Calibri" w:cs="Times New Roman"/>
          <w:noProof/>
          <w:lang w:eastAsia="nb-NO"/>
        </w:rPr>
        <w:t>ved ryggleie</w:t>
      </w:r>
    </w:p>
    <w:p w:rsidR="007745A7" w:rsidRPr="00B86BB5" w:rsidRDefault="00396BF2" w:rsidP="00B86BB5">
      <w:pPr>
        <w:pStyle w:val="Listeavsnitt"/>
        <w:numPr>
          <w:ilvl w:val="0"/>
          <w:numId w:val="1"/>
        </w:numPr>
      </w:pPr>
      <w:r>
        <w:t>V</w:t>
      </w:r>
      <w:r w:rsidR="00BE7743" w:rsidRPr="00A04317">
        <w:t>urder</w:t>
      </w:r>
      <w:r w:rsidR="00E640C8">
        <w:t xml:space="preserve"> behov for </w:t>
      </w:r>
      <w:proofErr w:type="spellStart"/>
      <w:r w:rsidR="00BE7743" w:rsidRPr="00A04317">
        <w:t>postpyl</w:t>
      </w:r>
      <w:r w:rsidR="004F10E8">
        <w:t>orisk</w:t>
      </w:r>
      <w:proofErr w:type="spellEnd"/>
      <w:r w:rsidR="004F10E8">
        <w:t xml:space="preserve"> </w:t>
      </w:r>
      <w:r>
        <w:t>sonde</w:t>
      </w:r>
      <w:r w:rsidR="004F10E8">
        <w:t xml:space="preserve">ernæring med </w:t>
      </w:r>
      <w:proofErr w:type="spellStart"/>
      <w:r w:rsidR="004F10E8">
        <w:t>jejunal</w:t>
      </w:r>
      <w:proofErr w:type="spellEnd"/>
      <w:r>
        <w:t xml:space="preserve"> </w:t>
      </w:r>
      <w:r w:rsidR="004F10E8">
        <w:t xml:space="preserve">sonde dersom </w:t>
      </w:r>
      <w:r w:rsidR="007341A6">
        <w:t>høy GRV</w:t>
      </w:r>
      <w:r w:rsidR="004F10E8" w:rsidRPr="004F10E8">
        <w:t xml:space="preserve"> vedvarer i mer enn 48-72 time</w:t>
      </w:r>
      <w:r w:rsidR="00FB3843">
        <w:t>r</w:t>
      </w:r>
      <w:r w:rsidR="0056492F">
        <w:t xml:space="preserve"> (4,7)</w:t>
      </w:r>
    </w:p>
    <w:p w:rsidR="00396BF2" w:rsidRPr="00B86BB5" w:rsidRDefault="00396BF2" w:rsidP="00B86BB5">
      <w:pPr>
        <w:pStyle w:val="Listeavsnitt"/>
        <w:numPr>
          <w:ilvl w:val="0"/>
          <w:numId w:val="1"/>
        </w:numPr>
      </w:pPr>
      <w:r>
        <w:rPr>
          <w:rFonts w:ascii="Calibri" w:eastAsia="Calibri" w:hAnsi="Calibri" w:cs="Times New Roman"/>
          <w:noProof/>
          <w:lang w:eastAsia="nb-NO"/>
        </w:rPr>
        <w:t>V</w:t>
      </w:r>
      <w:r w:rsidR="003F2B71" w:rsidRPr="007745A7">
        <w:rPr>
          <w:rFonts w:ascii="Calibri" w:eastAsia="Calibri" w:hAnsi="Calibri" w:cs="Times New Roman"/>
          <w:noProof/>
          <w:lang w:eastAsia="nb-NO"/>
        </w:rPr>
        <w:t xml:space="preserve">urder </w:t>
      </w:r>
      <w:r>
        <w:rPr>
          <w:rFonts w:ascii="Calibri" w:eastAsia="Calibri" w:hAnsi="Calibri" w:cs="Times New Roman"/>
          <w:noProof/>
          <w:lang w:eastAsia="nb-NO"/>
        </w:rPr>
        <w:t xml:space="preserve">PN </w:t>
      </w:r>
      <w:r w:rsidR="003F2B71" w:rsidRPr="007745A7">
        <w:rPr>
          <w:rFonts w:ascii="Calibri" w:eastAsia="Calibri" w:hAnsi="Calibri" w:cs="Times New Roman"/>
          <w:noProof/>
          <w:lang w:eastAsia="nb-NO"/>
        </w:rPr>
        <w:t>dersom det ikke</w:t>
      </w:r>
      <w:r w:rsidR="00FA5841" w:rsidRPr="007745A7">
        <w:rPr>
          <w:rFonts w:ascii="Calibri" w:eastAsia="Calibri" w:hAnsi="Calibri" w:cs="Times New Roman"/>
          <w:noProof/>
          <w:lang w:eastAsia="nb-NO"/>
        </w:rPr>
        <w:t xml:space="preserve"> ikke</w:t>
      </w:r>
      <w:r w:rsidR="003F2B71" w:rsidRPr="007745A7">
        <w:rPr>
          <w:rFonts w:ascii="Calibri" w:eastAsia="Calibri" w:hAnsi="Calibri" w:cs="Times New Roman"/>
          <w:noProof/>
          <w:lang w:eastAsia="nb-NO"/>
        </w:rPr>
        <w:t xml:space="preserve"> </w:t>
      </w:r>
      <w:r w:rsidR="00FA5841" w:rsidRPr="007745A7">
        <w:rPr>
          <w:rFonts w:ascii="Calibri" w:eastAsia="Calibri" w:hAnsi="Calibri" w:cs="Times New Roman"/>
          <w:noProof/>
          <w:lang w:eastAsia="nb-NO"/>
        </w:rPr>
        <w:t xml:space="preserve">lykkes med </w:t>
      </w:r>
      <w:r>
        <w:rPr>
          <w:rFonts w:ascii="Calibri" w:eastAsia="Calibri" w:hAnsi="Calibri" w:cs="Times New Roman"/>
          <w:noProof/>
          <w:lang w:eastAsia="nb-NO"/>
        </w:rPr>
        <w:t xml:space="preserve">EN via </w:t>
      </w:r>
      <w:r w:rsidR="003F2B71" w:rsidRPr="007745A7">
        <w:rPr>
          <w:rFonts w:ascii="Calibri" w:eastAsia="Calibri" w:hAnsi="Calibri" w:cs="Times New Roman"/>
          <w:noProof/>
          <w:lang w:eastAsia="nb-NO"/>
        </w:rPr>
        <w:t>jejunal</w:t>
      </w:r>
      <w:r>
        <w:rPr>
          <w:rFonts w:ascii="Calibri" w:eastAsia="Calibri" w:hAnsi="Calibri" w:cs="Times New Roman"/>
          <w:noProof/>
          <w:lang w:eastAsia="nb-NO"/>
        </w:rPr>
        <w:t xml:space="preserve"> </w:t>
      </w:r>
      <w:r w:rsidR="003F2B71" w:rsidRPr="007745A7">
        <w:rPr>
          <w:rFonts w:ascii="Calibri" w:eastAsia="Calibri" w:hAnsi="Calibri" w:cs="Times New Roman"/>
          <w:noProof/>
          <w:lang w:eastAsia="nb-NO"/>
        </w:rPr>
        <w:t>sonde</w:t>
      </w:r>
    </w:p>
    <w:p w:rsidR="006969ED" w:rsidRDefault="00D75D77" w:rsidP="00BE7743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A04317">
        <w:rPr>
          <w:rFonts w:ascii="Calibri" w:eastAsia="Calibri" w:hAnsi="Calibri" w:cs="Times New Roman"/>
          <w:noProof/>
          <w:lang w:eastAsia="nb-NO"/>
        </w:rPr>
        <w:t xml:space="preserve"> </w:t>
      </w:r>
    </w:p>
    <w:p w:rsidR="006969ED" w:rsidRDefault="00FB3843" w:rsidP="00BE7743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>
        <w:rPr>
          <w:rFonts w:ascii="Calibri" w:eastAsia="Calibri" w:hAnsi="Calibri" w:cs="Times New Roman"/>
          <w:noProof/>
          <w:lang w:eastAsia="nb-NO"/>
        </w:rPr>
        <w:t>Hos intensivpasienter benyttes normalt sondeløsning med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 1,2 -1,3 kcal/ml </w:t>
      </w:r>
      <w:r>
        <w:rPr>
          <w:rFonts w:ascii="Calibri" w:eastAsia="Calibri" w:hAnsi="Calibri" w:cs="Times New Roman"/>
          <w:noProof/>
          <w:lang w:eastAsia="nb-NO"/>
        </w:rPr>
        <w:t>og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 høy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>t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 proteininnhold</w:t>
      </w:r>
      <w:r>
        <w:rPr>
          <w:rFonts w:ascii="Calibri" w:eastAsia="Calibri" w:hAnsi="Calibri" w:cs="Times New Roman"/>
          <w:noProof/>
          <w:lang w:eastAsia="nb-NO"/>
        </w:rPr>
        <w:t xml:space="preserve"> ved oppstart. </w:t>
      </w:r>
      <w:r w:rsidR="006969ED">
        <w:rPr>
          <w:rFonts w:ascii="Calibri" w:eastAsia="Calibri" w:hAnsi="Calibri" w:cs="Times New Roman"/>
          <w:noProof/>
          <w:lang w:eastAsia="nb-NO"/>
        </w:rPr>
        <w:t>V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 xml:space="preserve">ed </w:t>
      </w:r>
      <w:r w:rsidR="006969ED">
        <w:rPr>
          <w:rFonts w:ascii="Calibri" w:eastAsia="Calibri" w:hAnsi="Calibri" w:cs="Times New Roman"/>
          <w:noProof/>
          <w:lang w:eastAsia="nb-NO"/>
        </w:rPr>
        <w:t>COVID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>-19 er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 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 xml:space="preserve">det 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naturlig å 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>vurdere om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 en 2 kcal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>/ml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 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 xml:space="preserve">konsentrert </w:t>
      </w:r>
      <w:r>
        <w:rPr>
          <w:rFonts w:ascii="Calibri" w:eastAsia="Calibri" w:hAnsi="Calibri" w:cs="Times New Roman"/>
          <w:noProof/>
          <w:lang w:eastAsia="nb-NO"/>
        </w:rPr>
        <w:t>sonde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løsning </w:t>
      </w:r>
      <w:r w:rsidR="00AA2094" w:rsidRPr="00A04317">
        <w:rPr>
          <w:rFonts w:ascii="Calibri" w:eastAsia="Calibri" w:hAnsi="Calibri" w:cs="Times New Roman"/>
          <w:noProof/>
          <w:lang w:eastAsia="nb-NO"/>
        </w:rPr>
        <w:t xml:space="preserve">kan være </w:t>
      </w:r>
      <w:bookmarkStart w:id="15" w:name="OLE_LINK23"/>
      <w:r w:rsidR="00AA2094" w:rsidRPr="00A04317">
        <w:rPr>
          <w:rFonts w:ascii="Calibri" w:eastAsia="Calibri" w:hAnsi="Calibri" w:cs="Times New Roman"/>
          <w:noProof/>
          <w:lang w:eastAsia="nb-NO"/>
        </w:rPr>
        <w:t xml:space="preserve">hensiktsmessig 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>når internasjonale retningslinje</w:t>
      </w:r>
      <w:r w:rsidR="006969ED">
        <w:rPr>
          <w:rFonts w:ascii="Calibri" w:eastAsia="Calibri" w:hAnsi="Calibri" w:cs="Times New Roman"/>
          <w:noProof/>
          <w:lang w:eastAsia="nb-NO"/>
        </w:rPr>
        <w:t>r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 anbefaler</w:t>
      </w:r>
      <w:r w:rsidR="003B0577" w:rsidRPr="00A04317">
        <w:rPr>
          <w:rFonts w:ascii="Calibri" w:eastAsia="Calibri" w:hAnsi="Calibri" w:cs="Times New Roman"/>
          <w:noProof/>
          <w:lang w:eastAsia="nb-NO"/>
        </w:rPr>
        <w:t xml:space="preserve"> «Where possible avoid ‘maintenance' intravenous fluids, high volume enteral nutrition, and fluid bolus for hypoten</w:t>
      </w:r>
      <w:r w:rsidR="0056492F">
        <w:rPr>
          <w:rFonts w:ascii="Calibri" w:eastAsia="Calibri" w:hAnsi="Calibri" w:cs="Times New Roman"/>
          <w:noProof/>
          <w:lang w:eastAsia="nb-NO"/>
        </w:rPr>
        <w:t>sion</w:t>
      </w:r>
      <w:r w:rsidR="003B0577" w:rsidRPr="00A04317">
        <w:rPr>
          <w:rFonts w:ascii="Calibri" w:eastAsia="Calibri" w:hAnsi="Calibri" w:cs="Times New Roman"/>
          <w:noProof/>
          <w:lang w:eastAsia="nb-NO"/>
        </w:rPr>
        <w:t>»</w:t>
      </w:r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. </w:t>
      </w:r>
    </w:p>
    <w:p w:rsidR="006969ED" w:rsidRDefault="006969ED" w:rsidP="00BE7743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</w:p>
    <w:bookmarkEnd w:id="15"/>
    <w:p w:rsidR="003B028A" w:rsidRPr="003B028A" w:rsidRDefault="00FA33DE" w:rsidP="00BE7743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FA33DE">
        <w:rPr>
          <w:rFonts w:ascii="Calibri" w:eastAsia="Calibri" w:hAnsi="Calibri" w:cs="Times New Roman"/>
          <w:noProof/>
          <w:lang w:eastAsia="nb-NO"/>
        </w:rPr>
        <w:t xml:space="preserve">Imidlertid, under behandlingsforløpet, er det erfart at hypernatremi, er en komplikasjon som er relatert til blant annet medikamentbruk for behandling av lungeødemer. </w:t>
      </w:r>
      <w:r w:rsidR="003B028A">
        <w:rPr>
          <w:rFonts w:ascii="Calibri" w:eastAsia="Calibri" w:hAnsi="Calibri" w:cs="Times New Roman"/>
          <w:noProof/>
          <w:lang w:eastAsia="nb-NO"/>
        </w:rPr>
        <w:t xml:space="preserve"> </w:t>
      </w:r>
      <w:r w:rsidRPr="00FA33DE">
        <w:rPr>
          <w:rFonts w:ascii="Calibri" w:eastAsia="Calibri" w:hAnsi="Calibri" w:cs="Times New Roman"/>
          <w:noProof/>
          <w:lang w:eastAsia="nb-NO"/>
        </w:rPr>
        <w:t>Ved hypernatremi benyttes normalt sondeløsning med lavt natriuminnhold</w:t>
      </w:r>
      <w:r w:rsidR="003B028A">
        <w:rPr>
          <w:rFonts w:ascii="Calibri" w:eastAsia="Calibri" w:hAnsi="Calibri" w:cs="Times New Roman"/>
          <w:noProof/>
          <w:lang w:eastAsia="nb-NO"/>
        </w:rPr>
        <w:t xml:space="preserve"> (</w:t>
      </w:r>
      <w:r w:rsidR="003B028A" w:rsidRPr="003B028A">
        <w:rPr>
          <w:rFonts w:ascii="Calibri" w:eastAsia="Calibri" w:hAnsi="Calibri" w:cs="Times New Roman"/>
          <w:noProof/>
          <w:lang w:eastAsia="nb-NO"/>
        </w:rPr>
        <w:t>Nutrison Low Sodium</w:t>
      </w:r>
      <w:r w:rsidR="003B028A">
        <w:rPr>
          <w:rFonts w:ascii="Calibri" w:eastAsia="Calibri" w:hAnsi="Calibri" w:cs="Times New Roman"/>
          <w:noProof/>
          <w:lang w:eastAsia="nb-NO"/>
        </w:rPr>
        <w:t>)</w:t>
      </w:r>
      <w:r w:rsidRPr="00FA33DE">
        <w:rPr>
          <w:rFonts w:ascii="Calibri" w:eastAsia="Calibri" w:hAnsi="Calibri" w:cs="Times New Roman"/>
          <w:noProof/>
          <w:lang w:eastAsia="nb-NO"/>
        </w:rPr>
        <w:t xml:space="preserve">. </w:t>
      </w:r>
      <w:r w:rsidR="0056492F">
        <w:rPr>
          <w:rFonts w:ascii="Calibri" w:eastAsia="Calibri" w:hAnsi="Calibri" w:cs="Times New Roman"/>
          <w:noProof/>
          <w:lang w:eastAsia="nb-NO"/>
        </w:rPr>
        <w:t xml:space="preserve">Ved streng væskerestriksjon bør </w:t>
      </w:r>
      <w:r w:rsidRPr="00FA33DE">
        <w:rPr>
          <w:rFonts w:ascii="Calibri" w:eastAsia="Calibri" w:hAnsi="Calibri" w:cs="Times New Roman"/>
          <w:noProof/>
          <w:lang w:eastAsia="nb-NO"/>
        </w:rPr>
        <w:t xml:space="preserve">Fresubin 2 kcal HP </w:t>
      </w:r>
      <w:r w:rsidR="0056492F">
        <w:rPr>
          <w:rFonts w:ascii="Calibri" w:eastAsia="Calibri" w:hAnsi="Calibri" w:cs="Times New Roman"/>
          <w:noProof/>
          <w:lang w:eastAsia="nb-NO"/>
        </w:rPr>
        <w:t xml:space="preserve">velges som primær sondeløsing for oppstart av </w:t>
      </w:r>
      <w:r w:rsidR="000374DC">
        <w:rPr>
          <w:rFonts w:ascii="Calibri" w:eastAsia="Calibri" w:hAnsi="Calibri" w:cs="Times New Roman"/>
          <w:noProof/>
          <w:lang w:eastAsia="nb-NO"/>
        </w:rPr>
        <w:t>EN</w:t>
      </w:r>
      <w:r w:rsidR="0056492F">
        <w:rPr>
          <w:rFonts w:ascii="Calibri" w:eastAsia="Calibri" w:hAnsi="Calibri" w:cs="Times New Roman"/>
          <w:noProof/>
          <w:lang w:eastAsia="nb-NO"/>
        </w:rPr>
        <w:t xml:space="preserve"> </w:t>
      </w:r>
      <w:r w:rsidRPr="00FA33DE">
        <w:rPr>
          <w:rFonts w:ascii="Calibri" w:eastAsia="Calibri" w:hAnsi="Calibri" w:cs="Times New Roman"/>
          <w:noProof/>
          <w:lang w:eastAsia="nb-NO"/>
        </w:rPr>
        <w:t xml:space="preserve">på bakgrunn av </w:t>
      </w:r>
      <w:r w:rsidR="003B028A">
        <w:rPr>
          <w:rFonts w:ascii="Calibri" w:eastAsia="Calibri" w:hAnsi="Calibri" w:cs="Times New Roman"/>
          <w:noProof/>
          <w:lang w:eastAsia="nb-NO"/>
        </w:rPr>
        <w:t>lav</w:t>
      </w:r>
      <w:r w:rsidR="000374DC">
        <w:rPr>
          <w:rFonts w:ascii="Calibri" w:eastAsia="Calibri" w:hAnsi="Calibri" w:cs="Times New Roman"/>
          <w:noProof/>
          <w:lang w:eastAsia="nb-NO"/>
        </w:rPr>
        <w:t>t</w:t>
      </w:r>
      <w:r w:rsidR="003B028A">
        <w:rPr>
          <w:rFonts w:ascii="Calibri" w:eastAsia="Calibri" w:hAnsi="Calibri" w:cs="Times New Roman"/>
          <w:noProof/>
          <w:lang w:eastAsia="nb-NO"/>
        </w:rPr>
        <w:t xml:space="preserve"> volum, </w:t>
      </w:r>
      <w:r w:rsidRPr="00FA33DE">
        <w:rPr>
          <w:rFonts w:ascii="Calibri" w:eastAsia="Calibri" w:hAnsi="Calibri" w:cs="Times New Roman"/>
          <w:noProof/>
          <w:lang w:eastAsia="nb-NO"/>
        </w:rPr>
        <w:t xml:space="preserve">høyere proteinnivå </w:t>
      </w:r>
      <w:r w:rsidR="003B028A">
        <w:rPr>
          <w:rFonts w:ascii="Calibri" w:eastAsia="Calibri" w:hAnsi="Calibri" w:cs="Times New Roman"/>
          <w:noProof/>
          <w:lang w:eastAsia="nb-NO"/>
        </w:rPr>
        <w:t>og lav</w:t>
      </w:r>
      <w:r w:rsidR="000374DC">
        <w:rPr>
          <w:rFonts w:ascii="Calibri" w:eastAsia="Calibri" w:hAnsi="Calibri" w:cs="Times New Roman"/>
          <w:noProof/>
          <w:lang w:eastAsia="nb-NO"/>
        </w:rPr>
        <w:t>t</w:t>
      </w:r>
      <w:r w:rsidR="003B028A">
        <w:rPr>
          <w:rFonts w:ascii="Calibri" w:eastAsia="Calibri" w:hAnsi="Calibri" w:cs="Times New Roman"/>
          <w:noProof/>
          <w:lang w:eastAsia="nb-NO"/>
        </w:rPr>
        <w:t xml:space="preserve"> </w:t>
      </w:r>
      <w:r w:rsidRPr="00FA33DE">
        <w:rPr>
          <w:rFonts w:ascii="Calibri" w:eastAsia="Calibri" w:hAnsi="Calibri" w:cs="Times New Roman"/>
          <w:noProof/>
          <w:lang w:eastAsia="nb-NO"/>
        </w:rPr>
        <w:t>natriuminnhold</w:t>
      </w:r>
      <w:r w:rsidR="003B028A">
        <w:rPr>
          <w:rFonts w:ascii="Calibri" w:eastAsia="Calibri" w:hAnsi="Calibri" w:cs="Times New Roman"/>
          <w:noProof/>
          <w:lang w:eastAsia="nb-NO"/>
        </w:rPr>
        <w:t xml:space="preserve">. </w:t>
      </w:r>
      <w:r w:rsidR="004D1A9B">
        <w:rPr>
          <w:rFonts w:ascii="Calibri" w:eastAsia="Calibri" w:hAnsi="Calibri" w:cs="Times New Roman"/>
          <w:noProof/>
          <w:lang w:eastAsia="nb-NO"/>
        </w:rPr>
        <w:t>Når en sammenligne</w:t>
      </w:r>
      <w:r w:rsidR="000374DC">
        <w:rPr>
          <w:rFonts w:ascii="Calibri" w:eastAsia="Calibri" w:hAnsi="Calibri" w:cs="Times New Roman"/>
          <w:noProof/>
          <w:lang w:eastAsia="nb-NO"/>
        </w:rPr>
        <w:t>r</w:t>
      </w:r>
      <w:r w:rsidR="004D1A9B">
        <w:rPr>
          <w:rFonts w:ascii="Calibri" w:eastAsia="Calibri" w:hAnsi="Calibri" w:cs="Times New Roman"/>
          <w:noProof/>
          <w:lang w:eastAsia="nb-NO"/>
        </w:rPr>
        <w:t xml:space="preserve"> Fresubin 2 kcal HP med </w:t>
      </w:r>
      <w:r w:rsidR="004D1A9B" w:rsidRPr="003B028A">
        <w:rPr>
          <w:rFonts w:ascii="Calibri" w:eastAsia="Calibri" w:hAnsi="Calibri" w:cs="Times New Roman"/>
          <w:noProof/>
          <w:lang w:eastAsia="nb-NO"/>
        </w:rPr>
        <w:t xml:space="preserve">Nutrison low sodium </w:t>
      </w:r>
      <w:r w:rsidR="004D1A9B">
        <w:rPr>
          <w:rFonts w:ascii="Calibri" w:eastAsia="Calibri" w:hAnsi="Calibri" w:cs="Times New Roman"/>
          <w:noProof/>
          <w:lang w:eastAsia="nb-NO"/>
        </w:rPr>
        <w:t xml:space="preserve">er det </w:t>
      </w:r>
      <w:r w:rsidR="000374DC">
        <w:rPr>
          <w:rFonts w:ascii="Calibri" w:eastAsia="Calibri" w:hAnsi="Calibri" w:cs="Times New Roman"/>
          <w:noProof/>
          <w:lang w:eastAsia="nb-NO"/>
        </w:rPr>
        <w:t>kun</w:t>
      </w:r>
      <w:r w:rsidR="004D1A9B">
        <w:rPr>
          <w:rFonts w:ascii="Calibri" w:eastAsia="Calibri" w:hAnsi="Calibri" w:cs="Times New Roman"/>
          <w:noProof/>
          <w:lang w:eastAsia="nb-NO"/>
        </w:rPr>
        <w:t xml:space="preserve"> </w:t>
      </w:r>
      <w:r w:rsidR="0024694E">
        <w:rPr>
          <w:rFonts w:ascii="Calibri" w:eastAsia="Calibri" w:hAnsi="Calibri" w:cs="Times New Roman"/>
          <w:noProof/>
          <w:lang w:eastAsia="nb-NO"/>
        </w:rPr>
        <w:t>35</w:t>
      </w:r>
      <w:r w:rsidR="0024694E" w:rsidRPr="003B028A">
        <w:rPr>
          <w:rFonts w:ascii="Calibri" w:eastAsia="Calibri" w:hAnsi="Calibri" w:cs="Times New Roman"/>
          <w:noProof/>
          <w:lang w:eastAsia="nb-NO"/>
        </w:rPr>
        <w:t xml:space="preserve"> </w:t>
      </w:r>
      <w:r w:rsidR="004D1A9B" w:rsidRPr="003B028A">
        <w:rPr>
          <w:rFonts w:ascii="Calibri" w:eastAsia="Calibri" w:hAnsi="Calibri" w:cs="Times New Roman"/>
          <w:noProof/>
          <w:lang w:eastAsia="nb-NO"/>
        </w:rPr>
        <w:t>mg/</w:t>
      </w:r>
      <w:r w:rsidR="0024694E">
        <w:rPr>
          <w:rFonts w:ascii="Calibri" w:eastAsia="Calibri" w:hAnsi="Calibri" w:cs="Times New Roman"/>
          <w:noProof/>
          <w:lang w:eastAsia="nb-NO"/>
        </w:rPr>
        <w:t>1,5</w:t>
      </w:r>
      <w:r w:rsidR="004D1A9B" w:rsidRPr="003B028A">
        <w:rPr>
          <w:rFonts w:ascii="Calibri" w:eastAsia="Calibri" w:hAnsi="Calibri" w:cs="Times New Roman"/>
          <w:noProof/>
          <w:lang w:eastAsia="nb-NO"/>
        </w:rPr>
        <w:t xml:space="preserve"> mmol </w:t>
      </w:r>
      <w:r w:rsidR="000374DC">
        <w:rPr>
          <w:rFonts w:ascii="Calibri" w:eastAsia="Calibri" w:hAnsi="Calibri" w:cs="Times New Roman"/>
          <w:noProof/>
          <w:lang w:eastAsia="nb-NO"/>
        </w:rPr>
        <w:t>differanse</w:t>
      </w:r>
      <w:r w:rsidR="004D1A9B" w:rsidRPr="003B028A">
        <w:rPr>
          <w:rFonts w:ascii="Calibri" w:eastAsia="Calibri" w:hAnsi="Calibri" w:cs="Times New Roman"/>
          <w:noProof/>
          <w:lang w:eastAsia="nb-NO"/>
        </w:rPr>
        <w:t xml:space="preserve"> </w:t>
      </w:r>
      <w:r w:rsidR="004D1A9B">
        <w:rPr>
          <w:rFonts w:ascii="Calibri" w:eastAsia="Calibri" w:hAnsi="Calibri" w:cs="Times New Roman"/>
          <w:noProof/>
          <w:lang w:eastAsia="nb-NO"/>
        </w:rPr>
        <w:t xml:space="preserve"> i natriuminnhold</w:t>
      </w:r>
      <w:r w:rsidR="004D1A9B" w:rsidRPr="004D1A9B">
        <w:t xml:space="preserve"> </w:t>
      </w:r>
      <w:r w:rsidR="004D1A9B" w:rsidRPr="004D1A9B">
        <w:rPr>
          <w:rFonts w:ascii="Calibri" w:eastAsia="Calibri" w:hAnsi="Calibri" w:cs="Times New Roman"/>
          <w:noProof/>
          <w:lang w:eastAsia="nb-NO"/>
        </w:rPr>
        <w:t>per 100 ml</w:t>
      </w:r>
      <w:r w:rsidR="004D1A9B">
        <w:rPr>
          <w:rFonts w:ascii="Calibri" w:eastAsia="Calibri" w:hAnsi="Calibri" w:cs="Times New Roman"/>
          <w:noProof/>
          <w:lang w:eastAsia="nb-NO"/>
        </w:rPr>
        <w:t xml:space="preserve"> (se tabell)</w:t>
      </w:r>
      <w:r w:rsidR="001C01FE">
        <w:rPr>
          <w:rFonts w:ascii="Calibri" w:eastAsia="Calibri" w:hAnsi="Calibri" w:cs="Times New Roman"/>
          <w:noProof/>
          <w:lang w:eastAsia="nb-NO"/>
        </w:rPr>
        <w:t xml:space="preserve">. </w:t>
      </w:r>
      <w:r w:rsidR="00067982">
        <w:rPr>
          <w:rFonts w:ascii="Calibri" w:eastAsia="Calibri" w:hAnsi="Calibri" w:cs="Times New Roman"/>
          <w:noProof/>
          <w:lang w:eastAsia="nb-NO"/>
        </w:rPr>
        <w:t>E</w:t>
      </w:r>
      <w:r w:rsidR="001C01FE">
        <w:rPr>
          <w:rFonts w:ascii="Calibri" w:eastAsia="Calibri" w:hAnsi="Calibri" w:cs="Times New Roman"/>
          <w:noProof/>
          <w:lang w:eastAsia="nb-NO"/>
        </w:rPr>
        <w:t xml:space="preserve">ttersom Fresubin 2 kcal HP er dobbelt så konstentrert som Nutrison low sodium (1 kcal) så trenger man altså en mindre </w:t>
      </w:r>
      <w:r w:rsidR="00067982">
        <w:rPr>
          <w:rFonts w:ascii="Calibri" w:eastAsia="Calibri" w:hAnsi="Calibri" w:cs="Times New Roman"/>
          <w:noProof/>
          <w:lang w:eastAsia="nb-NO"/>
        </w:rPr>
        <w:t xml:space="preserve">totalmengde </w:t>
      </w:r>
      <w:r w:rsidR="001C01FE">
        <w:rPr>
          <w:rFonts w:ascii="Calibri" w:eastAsia="Calibri" w:hAnsi="Calibri" w:cs="Times New Roman"/>
          <w:noProof/>
          <w:lang w:eastAsia="nb-NO"/>
        </w:rPr>
        <w:t>tilført</w:t>
      </w:r>
      <w:r w:rsidR="003B028A" w:rsidRPr="003B028A">
        <w:rPr>
          <w:rFonts w:ascii="Calibri" w:eastAsia="Calibri" w:hAnsi="Calibri" w:cs="Times New Roman"/>
          <w:noProof/>
          <w:lang w:eastAsia="nb-NO"/>
        </w:rPr>
        <w:t xml:space="preserve">. </w:t>
      </w:r>
      <w:r w:rsidR="004D1A9B">
        <w:rPr>
          <w:rFonts w:ascii="Calibri" w:eastAsia="Calibri" w:hAnsi="Calibri" w:cs="Times New Roman"/>
          <w:noProof/>
          <w:lang w:eastAsia="nb-NO"/>
        </w:rPr>
        <w:t xml:space="preserve">Ved å velge riktig sondeløsning kan en spare en del med diuretika </w:t>
      </w:r>
      <w:r w:rsidR="004D1A9B" w:rsidRPr="004D1A9B">
        <w:rPr>
          <w:rFonts w:ascii="Calibri" w:eastAsia="Calibri" w:hAnsi="Calibri" w:cs="Times New Roman"/>
          <w:noProof/>
          <w:lang w:eastAsia="nb-NO"/>
        </w:rPr>
        <w:t>som kan medføre elektrolyttforstyrrelser</w:t>
      </w:r>
      <w:r w:rsidR="000374DC">
        <w:rPr>
          <w:rFonts w:ascii="Calibri" w:eastAsia="Calibri" w:hAnsi="Calibri" w:cs="Times New Roman"/>
          <w:noProof/>
          <w:lang w:eastAsia="nb-NO"/>
        </w:rPr>
        <w:t>.</w:t>
      </w:r>
      <w:r w:rsidR="000407B1">
        <w:rPr>
          <w:rFonts w:ascii="Calibri" w:eastAsia="Calibri" w:hAnsi="Calibri" w:cs="Times New Roman"/>
          <w:noProof/>
          <w:lang w:eastAsia="nb-NO"/>
        </w:rPr>
        <w:t xml:space="preserve"> Fresubin 2 kcal HP ble </w:t>
      </w:r>
      <w:r w:rsidR="000407B1" w:rsidRPr="000407B1">
        <w:rPr>
          <w:rFonts w:ascii="Calibri" w:eastAsia="Calibri" w:hAnsi="Calibri" w:cs="Times New Roman"/>
          <w:noProof/>
          <w:lang w:eastAsia="nb-NO"/>
        </w:rPr>
        <w:t xml:space="preserve">valgt som hovedløsning fremfor </w:t>
      </w:r>
      <w:r w:rsidR="000407B1">
        <w:rPr>
          <w:rFonts w:ascii="Calibri" w:eastAsia="Calibri" w:hAnsi="Calibri" w:cs="Times New Roman"/>
          <w:noProof/>
          <w:lang w:eastAsia="nb-NO"/>
        </w:rPr>
        <w:t xml:space="preserve">Nutrison </w:t>
      </w:r>
      <w:r w:rsidR="000407B1" w:rsidRPr="000407B1">
        <w:rPr>
          <w:rFonts w:ascii="Calibri" w:eastAsia="Calibri" w:hAnsi="Calibri" w:cs="Times New Roman"/>
          <w:noProof/>
          <w:lang w:eastAsia="nb-NO"/>
        </w:rPr>
        <w:t xml:space="preserve">Concentrated, på bakgrunn av høyere proteinnivå da det er vanskelig å oppnå proteinbehov med andre løsninger. I tillegg er natrium-innholdet i 2 Kcal lavere per 100 ml enn </w:t>
      </w:r>
      <w:r w:rsidR="000407B1">
        <w:rPr>
          <w:rFonts w:ascii="Calibri" w:eastAsia="Calibri" w:hAnsi="Calibri" w:cs="Times New Roman"/>
          <w:noProof/>
          <w:lang w:eastAsia="nb-NO"/>
        </w:rPr>
        <w:t xml:space="preserve">Nutrison </w:t>
      </w:r>
      <w:r w:rsidR="000407B1" w:rsidRPr="000407B1">
        <w:rPr>
          <w:rFonts w:ascii="Calibri" w:eastAsia="Calibri" w:hAnsi="Calibri" w:cs="Times New Roman"/>
          <w:noProof/>
          <w:lang w:eastAsia="nb-NO"/>
        </w:rPr>
        <w:t>Concentrate</w:t>
      </w:r>
      <w:r w:rsidR="000407B1">
        <w:rPr>
          <w:rFonts w:ascii="Calibri" w:eastAsia="Calibri" w:hAnsi="Calibri" w:cs="Times New Roman"/>
          <w:noProof/>
          <w:lang w:eastAsia="nb-NO"/>
        </w:rPr>
        <w:t>d (se tabell)</w:t>
      </w:r>
      <w:r w:rsidR="000407B1" w:rsidRPr="000407B1">
        <w:rPr>
          <w:rFonts w:ascii="Calibri" w:eastAsia="Calibri" w:hAnsi="Calibri" w:cs="Times New Roman"/>
          <w:noProof/>
          <w:lang w:eastAsia="nb-NO"/>
        </w:rPr>
        <w:t>.</w:t>
      </w:r>
    </w:p>
    <w:p w:rsidR="00194FC7" w:rsidRDefault="00194FC7" w:rsidP="00BE7743">
      <w:pPr>
        <w:spacing w:after="0" w:line="240" w:lineRule="auto"/>
      </w:pPr>
    </w:p>
    <w:p w:rsidR="00CC6F4C" w:rsidRPr="00A04317" w:rsidRDefault="00E20B50" w:rsidP="00BE7743">
      <w:pPr>
        <w:spacing w:after="0" w:line="240" w:lineRule="auto"/>
      </w:pPr>
      <w:r w:rsidRPr="00A04317">
        <w:t xml:space="preserve">I </w:t>
      </w:r>
      <w:r w:rsidR="00284577" w:rsidRPr="00A04317">
        <w:t xml:space="preserve">klinisk arbeid </w:t>
      </w:r>
      <w:r w:rsidR="006F58E5">
        <w:t xml:space="preserve">på sengepost </w:t>
      </w:r>
      <w:r w:rsidR="00284577" w:rsidRPr="00A04317">
        <w:t xml:space="preserve">er det en fordel </w:t>
      </w:r>
      <w:r w:rsidR="006F58E5">
        <w:t>at man velger noen utvalgte</w:t>
      </w:r>
      <w:r w:rsidR="000374DC">
        <w:t xml:space="preserve"> </w:t>
      </w:r>
      <w:r w:rsidRPr="00A04317">
        <w:t>sondeløsning</w:t>
      </w:r>
      <w:r w:rsidR="006F58E5">
        <w:t>er</w:t>
      </w:r>
      <w:r w:rsidRPr="00A04317">
        <w:t xml:space="preserve">, </w:t>
      </w:r>
      <w:r w:rsidR="00194FC7">
        <w:t xml:space="preserve">da </w:t>
      </w:r>
      <w:r w:rsidR="006F58E5">
        <w:t xml:space="preserve">det er </w:t>
      </w:r>
      <w:r w:rsidR="00194FC7">
        <w:t>ønske</w:t>
      </w:r>
      <w:r w:rsidR="006F58E5">
        <w:t>lig</w:t>
      </w:r>
      <w:r w:rsidR="00194FC7">
        <w:t xml:space="preserve"> at det skal væ</w:t>
      </w:r>
      <w:r w:rsidR="00194FC7" w:rsidRPr="00194FC7">
        <w:t xml:space="preserve">re </w:t>
      </w:r>
      <w:bookmarkStart w:id="16" w:name="OLE_LINK3"/>
      <w:bookmarkStart w:id="17" w:name="OLE_LINK4"/>
      <w:r w:rsidR="00194FC7" w:rsidRPr="00194FC7">
        <w:t>praktisk lett å holde seg til foreslått sonderegime</w:t>
      </w:r>
      <w:bookmarkEnd w:id="16"/>
      <w:bookmarkEnd w:id="17"/>
      <w:r w:rsidR="00A31DFC">
        <w:t xml:space="preserve">. </w:t>
      </w:r>
      <w:r w:rsidR="006F58E5">
        <w:t>Samtidig tilstrebes det individuelle tilpasninger</w:t>
      </w:r>
      <w:r w:rsidR="006F58E5" w:rsidRPr="006F58E5">
        <w:rPr>
          <w:rFonts w:ascii="Calibri" w:eastAsia="Calibri" w:hAnsi="Calibri" w:cs="Times New Roman"/>
          <w:noProof/>
          <w:lang w:eastAsia="nb-NO"/>
        </w:rPr>
        <w:t xml:space="preserve"> </w:t>
      </w:r>
      <w:r w:rsidR="006F58E5">
        <w:rPr>
          <w:rFonts w:ascii="Calibri" w:eastAsia="Calibri" w:hAnsi="Calibri" w:cs="Times New Roman"/>
          <w:noProof/>
          <w:lang w:eastAsia="nb-NO"/>
        </w:rPr>
        <w:t xml:space="preserve">ut ifra organsvikt, intoleranse og ernæringsbehov. Det </w:t>
      </w:r>
      <w:r w:rsidR="006F58E5">
        <w:t xml:space="preserve">vil da </w:t>
      </w:r>
      <w:r w:rsidR="00067982">
        <w:t xml:space="preserve">kunne </w:t>
      </w:r>
      <w:r w:rsidR="006F58E5">
        <w:t xml:space="preserve">være </w:t>
      </w:r>
      <w:r w:rsidR="00067982">
        <w:t xml:space="preserve">nødvendig </w:t>
      </w:r>
      <w:r w:rsidR="00772659">
        <w:t>å velge et</w:t>
      </w:r>
      <w:r w:rsidR="006F58E5">
        <w:t xml:space="preserve"> anne</w:t>
      </w:r>
      <w:r w:rsidR="00772659">
        <w:t>t</w:t>
      </w:r>
      <w:r w:rsidR="006F58E5">
        <w:t xml:space="preserve"> tilpasset </w:t>
      </w:r>
      <w:r w:rsidR="00772659">
        <w:t>produkt</w:t>
      </w:r>
      <w:r w:rsidR="00067982">
        <w:t xml:space="preserve"> ved behov</w:t>
      </w:r>
      <w:bookmarkStart w:id="18" w:name="OLE_LINK9"/>
      <w:bookmarkStart w:id="19" w:name="OLE_LINK10"/>
      <w:bookmarkStart w:id="20" w:name="OLE_LINK11"/>
      <w:r w:rsidR="00D75D77" w:rsidRPr="00A04317">
        <w:rPr>
          <w:rFonts w:ascii="Calibri" w:eastAsia="Calibri" w:hAnsi="Calibri" w:cs="Times New Roman"/>
          <w:noProof/>
          <w:lang w:eastAsia="nb-NO"/>
        </w:rPr>
        <w:t xml:space="preserve">. </w:t>
      </w:r>
    </w:p>
    <w:bookmarkEnd w:id="18"/>
    <w:bookmarkEnd w:id="19"/>
    <w:bookmarkEnd w:id="20"/>
    <w:p w:rsidR="003960D9" w:rsidRPr="00A04317" w:rsidRDefault="003960D9" w:rsidP="00BE7743">
      <w:pPr>
        <w:spacing w:after="0" w:line="240" w:lineRule="auto"/>
      </w:pPr>
    </w:p>
    <w:p w:rsidR="00854008" w:rsidRPr="00A04317" w:rsidRDefault="00E5198F" w:rsidP="00BE7743">
      <w:pPr>
        <w:spacing w:after="0" w:line="240" w:lineRule="auto"/>
        <w:rPr>
          <w:b/>
        </w:rPr>
      </w:pPr>
      <w:r>
        <w:rPr>
          <w:b/>
        </w:rPr>
        <w:t xml:space="preserve">Hovedpunkter </w:t>
      </w:r>
    </w:p>
    <w:p w:rsidR="003960D9" w:rsidRPr="00A04317" w:rsidRDefault="005E44E3" w:rsidP="00BE7743">
      <w:pPr>
        <w:spacing w:after="0" w:line="240" w:lineRule="auto"/>
      </w:pPr>
      <w:r w:rsidRPr="00A04317">
        <w:t>Ernæringsbehandling av pasienter med C</w:t>
      </w:r>
      <w:r w:rsidR="000678AC">
        <w:t>OVID</w:t>
      </w:r>
      <w:r w:rsidRPr="00A04317">
        <w:t>-19 er ikke ulike fra andre kritisk syke. Å</w:t>
      </w:r>
      <w:r w:rsidR="00854008" w:rsidRPr="00A04317">
        <w:t xml:space="preserve"> unngå overernæring så vel som underernæring kan være av avgjørende betydning for pasientforløpet</w:t>
      </w:r>
      <w:r w:rsidR="00F0385E" w:rsidRPr="00A04317">
        <w:t xml:space="preserve">. </w:t>
      </w:r>
    </w:p>
    <w:p w:rsidR="00854008" w:rsidRPr="00A04317" w:rsidRDefault="00854008" w:rsidP="00854008">
      <w:pPr>
        <w:shd w:val="clear" w:color="auto" w:fill="FFFFFF" w:themeFill="background1"/>
        <w:spacing w:after="0" w:line="240" w:lineRule="auto"/>
      </w:pPr>
    </w:p>
    <w:p w:rsidR="009C7AA1" w:rsidRPr="00146DC3" w:rsidRDefault="0083123C" w:rsidP="00146DC3">
      <w:pPr>
        <w:pStyle w:val="Listeavsnitt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  <w:r w:rsidRPr="00146DC3">
        <w:rPr>
          <w:b/>
        </w:rPr>
        <w:t>Ernæringsscreening:</w:t>
      </w:r>
      <w:r w:rsidRPr="00A04317">
        <w:t xml:space="preserve"> </w:t>
      </w:r>
      <w:r w:rsidRPr="00146DC3">
        <w:rPr>
          <w:rFonts w:ascii="Calibri" w:eastAsia="Calibri" w:hAnsi="Calibri" w:cs="Times New Roman"/>
          <w:noProof/>
          <w:lang w:eastAsia="nb-NO"/>
        </w:rPr>
        <w:t>Det er viktig med tidl</w:t>
      </w:r>
      <w:r w:rsidR="000678AC" w:rsidRPr="00146DC3">
        <w:rPr>
          <w:rFonts w:ascii="Calibri" w:eastAsia="Calibri" w:hAnsi="Calibri" w:cs="Times New Roman"/>
          <w:noProof/>
          <w:lang w:eastAsia="nb-NO"/>
        </w:rPr>
        <w:t>ig</w:t>
      </w:r>
      <w:r w:rsidRPr="00146DC3">
        <w:rPr>
          <w:rFonts w:ascii="Calibri" w:eastAsia="Calibri" w:hAnsi="Calibri" w:cs="Times New Roman"/>
          <w:noProof/>
          <w:lang w:eastAsia="nb-NO"/>
        </w:rPr>
        <w:t xml:space="preserve"> identifisering og behandling av u</w:t>
      </w:r>
      <w:r w:rsidR="00A029F5" w:rsidRPr="00146DC3">
        <w:rPr>
          <w:rFonts w:ascii="Calibri" w:eastAsia="Calibri" w:hAnsi="Calibri" w:cs="Times New Roman"/>
          <w:noProof/>
          <w:lang w:eastAsia="nb-NO"/>
        </w:rPr>
        <w:t>nderernæring. Vi anbefaler at e</w:t>
      </w:r>
      <w:r w:rsidRPr="00146DC3">
        <w:rPr>
          <w:rFonts w:ascii="Calibri" w:eastAsia="Calibri" w:hAnsi="Calibri" w:cs="Times New Roman"/>
          <w:noProof/>
          <w:lang w:eastAsia="nb-NO"/>
        </w:rPr>
        <w:t>n utfører ernæringsscreening (Sjekkliste</w:t>
      </w:r>
      <w:r w:rsidR="000678AC" w:rsidRPr="00146DC3">
        <w:rPr>
          <w:rFonts w:ascii="Calibri" w:eastAsia="Calibri" w:hAnsi="Calibri" w:cs="Times New Roman"/>
          <w:noProof/>
          <w:lang w:eastAsia="nb-NO"/>
        </w:rPr>
        <w:t xml:space="preserve"> for</w:t>
      </w:r>
      <w:r w:rsidRPr="00146DC3">
        <w:rPr>
          <w:rFonts w:ascii="Calibri" w:eastAsia="Calibri" w:hAnsi="Calibri" w:cs="Times New Roman"/>
          <w:noProof/>
          <w:lang w:eastAsia="nb-NO"/>
        </w:rPr>
        <w:t xml:space="preserve"> </w:t>
      </w:r>
      <w:r w:rsidR="000678AC" w:rsidRPr="00146DC3">
        <w:rPr>
          <w:rFonts w:ascii="Calibri" w:eastAsia="Calibri" w:hAnsi="Calibri" w:cs="Times New Roman"/>
          <w:noProof/>
          <w:lang w:eastAsia="nb-NO"/>
        </w:rPr>
        <w:t>p</w:t>
      </w:r>
      <w:r w:rsidRPr="00146DC3">
        <w:rPr>
          <w:rFonts w:ascii="Calibri" w:eastAsia="Calibri" w:hAnsi="Calibri" w:cs="Times New Roman"/>
          <w:noProof/>
          <w:lang w:eastAsia="nb-NO"/>
        </w:rPr>
        <w:t>asientsikkerhet</w:t>
      </w:r>
      <w:r w:rsidR="000678AC" w:rsidRPr="00146DC3">
        <w:rPr>
          <w:rFonts w:ascii="Calibri" w:eastAsia="Calibri" w:hAnsi="Calibri" w:cs="Times New Roman"/>
          <w:noProof/>
          <w:lang w:eastAsia="nb-NO"/>
        </w:rPr>
        <w:t xml:space="preserve"> (NRS 2002)</w:t>
      </w:r>
      <w:r w:rsidRPr="00146DC3">
        <w:rPr>
          <w:rFonts w:ascii="Calibri" w:eastAsia="Calibri" w:hAnsi="Calibri" w:cs="Times New Roman"/>
          <w:noProof/>
          <w:lang w:eastAsia="nb-NO"/>
        </w:rPr>
        <w:t>) så langt det praktisk lar s</w:t>
      </w:r>
      <w:r w:rsidR="00A029F5" w:rsidRPr="00146DC3">
        <w:rPr>
          <w:rFonts w:ascii="Calibri" w:eastAsia="Calibri" w:hAnsi="Calibri" w:cs="Times New Roman"/>
          <w:noProof/>
          <w:lang w:eastAsia="nb-NO"/>
        </w:rPr>
        <w:t>eg gjø</w:t>
      </w:r>
      <w:r w:rsidRPr="00146DC3">
        <w:rPr>
          <w:rFonts w:ascii="Calibri" w:eastAsia="Calibri" w:hAnsi="Calibri" w:cs="Times New Roman"/>
          <w:noProof/>
          <w:lang w:eastAsia="nb-NO"/>
        </w:rPr>
        <w:t>re. Som et minimum bør en alltid innhente informasjon om vekt, høyde, vekttap og matinntak</w:t>
      </w:r>
      <w:r w:rsidR="003B0577" w:rsidRPr="00146DC3">
        <w:rPr>
          <w:rFonts w:ascii="Calibri" w:eastAsia="Calibri" w:hAnsi="Calibri" w:cs="Times New Roman"/>
          <w:noProof/>
          <w:lang w:eastAsia="nb-NO"/>
        </w:rPr>
        <w:t>.</w:t>
      </w:r>
      <w:r w:rsidR="009C7AA1" w:rsidRPr="00146DC3">
        <w:rPr>
          <w:rFonts w:ascii="Calibri" w:eastAsia="Calibri" w:hAnsi="Calibri" w:cs="Times New Roman"/>
          <w:noProof/>
          <w:lang w:eastAsia="nb-NO"/>
        </w:rPr>
        <w:t xml:space="preserve"> </w:t>
      </w:r>
    </w:p>
    <w:p w:rsidR="002C1F00" w:rsidRDefault="002C1F00" w:rsidP="00CE3889">
      <w:pPr>
        <w:shd w:val="clear" w:color="auto" w:fill="FFFFFF" w:themeFill="background1"/>
        <w:spacing w:after="0" w:line="240" w:lineRule="auto"/>
        <w:rPr>
          <w:b/>
        </w:rPr>
      </w:pPr>
    </w:p>
    <w:p w:rsidR="00146DC3" w:rsidRPr="002C1F00" w:rsidRDefault="00811620" w:rsidP="00146DC3">
      <w:pPr>
        <w:pStyle w:val="Listeavsnitt"/>
        <w:numPr>
          <w:ilvl w:val="0"/>
          <w:numId w:val="4"/>
        </w:numPr>
        <w:shd w:val="clear" w:color="auto" w:fill="FFFFFF" w:themeFill="background1"/>
        <w:spacing w:after="0" w:line="240" w:lineRule="auto"/>
      </w:pPr>
      <w:r w:rsidRPr="00146DC3">
        <w:rPr>
          <w:b/>
        </w:rPr>
        <w:t>Ernæringsbehov:</w:t>
      </w:r>
      <w:r w:rsidRPr="00CE3889">
        <w:t xml:space="preserve"> Indirekte</w:t>
      </w:r>
      <w:r w:rsidR="000678AC" w:rsidRPr="00CE3889">
        <w:t xml:space="preserve"> </w:t>
      </w:r>
      <w:r w:rsidRPr="00CE3889">
        <w:t xml:space="preserve">kalorimetri anbefales for </w:t>
      </w:r>
      <w:r w:rsidR="00A029F5" w:rsidRPr="00CE3889">
        <w:t>beregn</w:t>
      </w:r>
      <w:r w:rsidR="00772659" w:rsidRPr="00CE3889">
        <w:t>ing av</w:t>
      </w:r>
      <w:r w:rsidRPr="00CE3889">
        <w:t xml:space="preserve"> energibehov. Ved fravær av indirekte kalorimetri bruk </w:t>
      </w:r>
      <w:r w:rsidR="007D43BE" w:rsidRPr="00CE3889">
        <w:t>20 kcal/kg kroppsvekt/d hos kvinner og 25</w:t>
      </w:r>
      <w:r w:rsidR="00F0385E" w:rsidRPr="00CE3889">
        <w:t>kcal</w:t>
      </w:r>
      <w:r w:rsidR="007D43BE" w:rsidRPr="00CE3889">
        <w:t xml:space="preserve">/kg kroppsvekt/d hos menn. </w:t>
      </w:r>
      <w:r w:rsidR="00350202" w:rsidRPr="00CE3889">
        <w:t xml:space="preserve">Start med 25 %, 50 %, 75 % og 80 </w:t>
      </w:r>
      <w:r w:rsidR="000678AC" w:rsidRPr="00CE3889">
        <w:t>–</w:t>
      </w:r>
      <w:r w:rsidR="00350202" w:rsidRPr="00CE3889">
        <w:t xml:space="preserve"> 100</w:t>
      </w:r>
      <w:r w:rsidR="000678AC" w:rsidRPr="00CE3889">
        <w:t xml:space="preserve"> </w:t>
      </w:r>
      <w:r w:rsidR="00350202" w:rsidRPr="00CE3889">
        <w:t>% av energibehovet på henholdsvis dag 1, dag 2, dag 3 og dag 4</w:t>
      </w:r>
      <w:r w:rsidR="005742B9">
        <w:t xml:space="preserve"> etter</w:t>
      </w:r>
      <w:r w:rsidR="00350202" w:rsidRPr="00CE3889">
        <w:t xml:space="preserve">. </w:t>
      </w:r>
      <w:r w:rsidR="00146DC3" w:rsidRPr="00146DC3">
        <w:t>Proteinbehovet</w:t>
      </w:r>
      <w:r w:rsidR="00146DC3" w:rsidRPr="00CE3889">
        <w:t xml:space="preserve"> på 1,3 g/kg/dag bør dekkes innen dag 3-5.</w:t>
      </w:r>
      <w:r w:rsidR="00146DC3" w:rsidRPr="009F60D4">
        <w:t xml:space="preserve"> </w:t>
      </w:r>
      <w:r w:rsidR="00146DC3">
        <w:t>B</w:t>
      </w:r>
      <w:r w:rsidR="00146DC3" w:rsidRPr="009F60D4">
        <w:t>ruk ev</w:t>
      </w:r>
      <w:r w:rsidR="00146DC3">
        <w:t>t.</w:t>
      </w:r>
      <w:r w:rsidR="00146DC3" w:rsidRPr="009F60D4">
        <w:t xml:space="preserve"> proteintilskudd for å dekke proteinbehov (eks. </w:t>
      </w:r>
      <w:proofErr w:type="spellStart"/>
      <w:r w:rsidR="00146DC3" w:rsidRPr="009F60D4">
        <w:t>Fresubin</w:t>
      </w:r>
      <w:proofErr w:type="spellEnd"/>
      <w:r w:rsidR="00146DC3" w:rsidRPr="009F60D4">
        <w:t xml:space="preserve"> protein </w:t>
      </w:r>
      <w:proofErr w:type="spellStart"/>
      <w:r w:rsidR="00146DC3" w:rsidRPr="009F60D4">
        <w:t>Powder</w:t>
      </w:r>
      <w:proofErr w:type="spellEnd"/>
      <w:r w:rsidR="00146DC3" w:rsidRPr="009F60D4">
        <w:t>/</w:t>
      </w:r>
      <w:proofErr w:type="spellStart"/>
      <w:r w:rsidR="00146DC3" w:rsidRPr="009F60D4">
        <w:t>Protifar</w:t>
      </w:r>
      <w:proofErr w:type="spellEnd"/>
      <w:r w:rsidR="00146DC3" w:rsidRPr="009F60D4">
        <w:t>)</w:t>
      </w:r>
      <w:r w:rsidR="00146DC3">
        <w:t>,</w:t>
      </w:r>
      <w:r w:rsidR="00146DC3" w:rsidRPr="009F60D4">
        <w:t xml:space="preserve"> </w:t>
      </w:r>
      <w:r w:rsidR="00146DC3">
        <w:t>hvis proteinbehovet ikke</w:t>
      </w:r>
      <w:r w:rsidR="00146DC3" w:rsidDel="009F60D4">
        <w:t xml:space="preserve"> </w:t>
      </w:r>
      <w:r w:rsidR="00146DC3">
        <w:t xml:space="preserve">blir dekket med sondeløsningen alene. </w:t>
      </w:r>
    </w:p>
    <w:p w:rsidR="00146DC3" w:rsidRDefault="00146DC3" w:rsidP="005742B9">
      <w:pPr>
        <w:shd w:val="clear" w:color="auto" w:fill="FFFFFF" w:themeFill="background1"/>
        <w:spacing w:after="0" w:line="240" w:lineRule="auto"/>
      </w:pPr>
    </w:p>
    <w:p w:rsidR="005742B9" w:rsidRDefault="005742B9" w:rsidP="00146DC3">
      <w:pPr>
        <w:pStyle w:val="Listeavsnitt"/>
        <w:numPr>
          <w:ilvl w:val="0"/>
          <w:numId w:val="4"/>
        </w:numPr>
        <w:shd w:val="clear" w:color="auto" w:fill="FFFFFF" w:themeFill="background1"/>
        <w:spacing w:after="0" w:line="240" w:lineRule="auto"/>
      </w:pPr>
      <w:r>
        <w:lastRenderedPageBreak/>
        <w:t xml:space="preserve">Hos alvorlig underernærte pasienter tilfør </w:t>
      </w:r>
      <w:r w:rsidRPr="005742B9">
        <w:t>med ca. 25% av kaloribehovet, enteralt eller parenteralt de første 72 timene med ernæring</w:t>
      </w:r>
      <w:r>
        <w:t>.</w:t>
      </w:r>
      <w:r w:rsidRPr="005742B9">
        <w:t xml:space="preserve"> </w:t>
      </w:r>
      <w:r>
        <w:t>Viktig å følge</w:t>
      </w:r>
      <w:r w:rsidRPr="002604AA">
        <w:t xml:space="preserve"> lokal prosedyre eller retningslinje for </w:t>
      </w:r>
      <w:proofErr w:type="spellStart"/>
      <w:r w:rsidRPr="005742B9">
        <w:t>Reernæringssyndrom</w:t>
      </w:r>
      <w:proofErr w:type="spellEnd"/>
      <w:r w:rsidRPr="002604AA">
        <w:t xml:space="preserve"> fra OUS, prosedyre ID</w:t>
      </w:r>
      <w:r w:rsidRPr="002C1F00">
        <w:t xml:space="preserve"> 129340</w:t>
      </w:r>
      <w:r>
        <w:t xml:space="preserve"> (10)</w:t>
      </w:r>
    </w:p>
    <w:p w:rsidR="00146DC3" w:rsidRDefault="00146DC3" w:rsidP="00CE3889">
      <w:pPr>
        <w:shd w:val="clear" w:color="auto" w:fill="FFFFFF" w:themeFill="background1"/>
        <w:spacing w:after="0" w:line="240" w:lineRule="auto"/>
      </w:pPr>
    </w:p>
    <w:p w:rsidR="00CE3889" w:rsidRPr="00CE3889" w:rsidRDefault="00AA625E" w:rsidP="00146DC3">
      <w:pPr>
        <w:pStyle w:val="Listeavsnitt"/>
        <w:numPr>
          <w:ilvl w:val="0"/>
          <w:numId w:val="4"/>
        </w:numPr>
        <w:shd w:val="clear" w:color="auto" w:fill="FFFFFF" w:themeFill="background1"/>
        <w:spacing w:after="0" w:line="240" w:lineRule="auto"/>
      </w:pPr>
      <w:r w:rsidRPr="00146DC3">
        <w:rPr>
          <w:b/>
        </w:rPr>
        <w:t>Vekt:</w:t>
      </w:r>
      <w:r w:rsidRPr="00CE3889">
        <w:t xml:space="preserve"> </w:t>
      </w:r>
      <w:r w:rsidR="00811620" w:rsidRPr="00CE3889">
        <w:t xml:space="preserve">Bruk korrigert vekt ved </w:t>
      </w:r>
      <w:r w:rsidR="007D43BE" w:rsidRPr="00CE3889">
        <w:t>BMI&gt;30</w:t>
      </w:r>
      <w:r w:rsidR="00811620" w:rsidRPr="00CE3889">
        <w:t xml:space="preserve"> kg/m</w:t>
      </w:r>
      <w:r w:rsidR="00811620" w:rsidRPr="00146DC3">
        <w:rPr>
          <w:vertAlign w:val="superscript"/>
        </w:rPr>
        <w:t>2</w:t>
      </w:r>
      <w:r w:rsidR="00CE3889">
        <w:t>. Da</w:t>
      </w:r>
      <w:r w:rsidR="00CE3889" w:rsidRPr="00CE3889">
        <w:t xml:space="preserve"> må man </w:t>
      </w:r>
      <w:r w:rsidR="00CE3889">
        <w:t>først regne ut ide</w:t>
      </w:r>
      <w:r w:rsidR="002416C8">
        <w:t>al</w:t>
      </w:r>
      <w:r w:rsidR="00CE3889">
        <w:t>vekt</w:t>
      </w:r>
      <w:r w:rsidR="00CE3889" w:rsidRPr="00CE3889">
        <w:t xml:space="preserve">: </w:t>
      </w:r>
    </w:p>
    <w:p w:rsidR="00CE3889" w:rsidRPr="00146DC3" w:rsidRDefault="00CE3889" w:rsidP="00146DC3">
      <w:pPr>
        <w:pStyle w:val="Listeavsnitt"/>
        <w:spacing w:after="0" w:line="240" w:lineRule="auto"/>
        <w:rPr>
          <w:rFonts w:eastAsia="Times New Roman" w:cs="Helvetica"/>
          <w:color w:val="333333"/>
          <w:lang w:eastAsia="nb-NO"/>
        </w:rPr>
      </w:pPr>
      <w:r w:rsidRPr="00CE3889">
        <w:t>Ide</w:t>
      </w:r>
      <w:r>
        <w:t>al</w:t>
      </w:r>
      <w:r w:rsidRPr="00CE3889">
        <w:t xml:space="preserve">vekt: </w:t>
      </w:r>
      <w:r w:rsidRPr="00146DC3">
        <w:rPr>
          <w:rFonts w:eastAsia="Times New Roman" w:cs="Helvetica"/>
          <w:color w:val="333333"/>
          <w:lang w:eastAsia="nb-NO"/>
        </w:rPr>
        <w:t>Kvinner: høyde(cm) - 105</w:t>
      </w:r>
    </w:p>
    <w:p w:rsidR="00CE3889" w:rsidRPr="00CE3889" w:rsidRDefault="00CE3889" w:rsidP="00146DC3">
      <w:pPr>
        <w:pStyle w:val="Listeavsnitt"/>
        <w:spacing w:after="0" w:line="240" w:lineRule="auto"/>
      </w:pPr>
      <w:r w:rsidRPr="00146DC3">
        <w:rPr>
          <w:rFonts w:eastAsia="Times New Roman" w:cs="Helvetica"/>
          <w:color w:val="333333"/>
          <w:lang w:eastAsia="nb-NO"/>
        </w:rPr>
        <w:t>Idealvekt: Menn: høyde(cm) - 100</w:t>
      </w:r>
    </w:p>
    <w:p w:rsidR="00CE3889" w:rsidRPr="00CE3889" w:rsidRDefault="00CE3889" w:rsidP="00146DC3">
      <w:pPr>
        <w:pStyle w:val="Listeavsnitt"/>
        <w:shd w:val="clear" w:color="auto" w:fill="FFFFFF" w:themeFill="background1"/>
        <w:spacing w:after="0" w:line="240" w:lineRule="auto"/>
      </w:pPr>
      <w:r w:rsidRPr="00146DC3">
        <w:rPr>
          <w:rFonts w:cs="Helvetica"/>
          <w:color w:val="333333"/>
        </w:rPr>
        <w:t>Korrigert vekt</w:t>
      </w:r>
      <w:r w:rsidR="00D42C62" w:rsidRPr="00146DC3">
        <w:rPr>
          <w:rFonts w:cs="Helvetica"/>
          <w:color w:val="333333"/>
        </w:rPr>
        <w:t xml:space="preserve"> finner man </w:t>
      </w:r>
      <w:r w:rsidRPr="00146DC3">
        <w:rPr>
          <w:rFonts w:cs="Helvetica"/>
          <w:color w:val="333333"/>
        </w:rPr>
        <w:t xml:space="preserve">slik: Idealvekt </w:t>
      </w:r>
      <w:r w:rsidR="00D9674B" w:rsidRPr="00146DC3">
        <w:rPr>
          <w:rFonts w:cs="Helvetica"/>
          <w:color w:val="333333"/>
        </w:rPr>
        <w:t>+ (aktuell kroppsvekt – idealvekt) x 0.33 (3,5)</w:t>
      </w:r>
    </w:p>
    <w:p w:rsidR="00D9674B" w:rsidRDefault="00D9674B" w:rsidP="00CE3889">
      <w:pPr>
        <w:shd w:val="clear" w:color="auto" w:fill="FFFFFF" w:themeFill="background1"/>
        <w:spacing w:after="0" w:line="240" w:lineRule="auto"/>
      </w:pPr>
    </w:p>
    <w:p w:rsidR="00BD63CD" w:rsidRPr="00A04317" w:rsidRDefault="00AA625E" w:rsidP="00146DC3">
      <w:pPr>
        <w:pStyle w:val="Listeavsnitt"/>
        <w:numPr>
          <w:ilvl w:val="0"/>
          <w:numId w:val="4"/>
        </w:numPr>
        <w:shd w:val="clear" w:color="auto" w:fill="FFFFFF" w:themeFill="background1"/>
        <w:spacing w:after="0" w:line="240" w:lineRule="auto"/>
      </w:pPr>
      <w:r w:rsidRPr="00146DC3">
        <w:rPr>
          <w:b/>
        </w:rPr>
        <w:t>Høyt GRV:</w:t>
      </w:r>
      <w:r w:rsidRPr="00CE3889">
        <w:t xml:space="preserve"> </w:t>
      </w:r>
      <w:r w:rsidR="009C7AA1" w:rsidRPr="00CE3889">
        <w:t xml:space="preserve">Intensivpasienter, spesielt pasienter med ARDS har risiko for høy </w:t>
      </w:r>
      <w:r w:rsidRPr="00CE3889">
        <w:t>GRV</w:t>
      </w:r>
      <w:r w:rsidR="009C7AA1" w:rsidRPr="00CE3889">
        <w:t xml:space="preserve">. </w:t>
      </w:r>
      <w:r w:rsidR="008D5006" w:rsidRPr="00CE3889">
        <w:t>Mageleie kan være nødvendig i lengre perioder over flere</w:t>
      </w:r>
      <w:r w:rsidR="008D5006" w:rsidRPr="008D5006">
        <w:t xml:space="preserve"> dager</w:t>
      </w:r>
      <w:r w:rsidR="008D5006">
        <w:t>.</w:t>
      </w:r>
      <w:r w:rsidR="008D5006" w:rsidRPr="008D5006">
        <w:t xml:space="preserve"> </w:t>
      </w:r>
      <w:r w:rsidR="002D25FB" w:rsidRPr="00A04317">
        <w:t xml:space="preserve">Tiltak bør </w:t>
      </w:r>
      <w:r w:rsidR="008D5006">
        <w:t xml:space="preserve">derfor </w:t>
      </w:r>
      <w:r w:rsidR="002D25FB" w:rsidRPr="00A04317">
        <w:t>iverksettes for å kunne tilføre pasient</w:t>
      </w:r>
      <w:r w:rsidR="00BD63CD" w:rsidRPr="00A04317">
        <w:t>en mest mulig enteralt (følg lokal prosedyre for høy GRV)</w:t>
      </w:r>
      <w:r w:rsidR="008D5006">
        <w:t xml:space="preserve">. </w:t>
      </w:r>
      <w:r w:rsidR="000678AC">
        <w:t>D</w:t>
      </w:r>
      <w:r w:rsidR="008D5006" w:rsidRPr="008D5006">
        <w:t xml:space="preserve">ersom </w:t>
      </w:r>
      <w:r w:rsidR="000678AC">
        <w:t xml:space="preserve">det ikke er mulig </w:t>
      </w:r>
      <w:r w:rsidR="008D5006" w:rsidRPr="008D5006">
        <w:t xml:space="preserve">å tilføre </w:t>
      </w:r>
      <w:r w:rsidR="000678AC">
        <w:t>pasienten</w:t>
      </w:r>
      <w:r w:rsidR="008D5006" w:rsidRPr="008D5006">
        <w:t xml:space="preserve"> </w:t>
      </w:r>
      <w:r w:rsidR="000678AC">
        <w:t>EN</w:t>
      </w:r>
      <w:r w:rsidR="008D5006" w:rsidRPr="008D5006">
        <w:t xml:space="preserve">, bør </w:t>
      </w:r>
      <w:r w:rsidR="004F5F77">
        <w:t xml:space="preserve">tidlig </w:t>
      </w:r>
      <w:r w:rsidR="000678AC">
        <w:t>PN</w:t>
      </w:r>
      <w:r w:rsidR="008D5006" w:rsidRPr="008D5006">
        <w:t xml:space="preserve"> i CVK vurderes</w:t>
      </w:r>
      <w:r w:rsidR="008D5006">
        <w:t>.</w:t>
      </w:r>
      <w:r w:rsidR="008D5006" w:rsidRPr="008D5006">
        <w:t xml:space="preserve">  </w:t>
      </w:r>
    </w:p>
    <w:p w:rsidR="00BD63CD" w:rsidRPr="00A04317" w:rsidRDefault="00BD63CD" w:rsidP="007D43BE">
      <w:pPr>
        <w:shd w:val="clear" w:color="auto" w:fill="FFFFFF" w:themeFill="background1"/>
        <w:spacing w:after="0" w:line="240" w:lineRule="auto"/>
      </w:pPr>
    </w:p>
    <w:p w:rsidR="00CB2CB4" w:rsidRDefault="00BD63CD" w:rsidP="00146DC3">
      <w:pPr>
        <w:pStyle w:val="Listeavsnitt"/>
        <w:numPr>
          <w:ilvl w:val="0"/>
          <w:numId w:val="4"/>
        </w:numPr>
        <w:spacing w:after="0" w:line="240" w:lineRule="auto"/>
      </w:pPr>
      <w:r w:rsidRPr="00146DC3">
        <w:rPr>
          <w:b/>
        </w:rPr>
        <w:t xml:space="preserve">Valg av </w:t>
      </w:r>
      <w:r w:rsidR="00AA625E" w:rsidRPr="00146DC3">
        <w:rPr>
          <w:b/>
        </w:rPr>
        <w:t>sondeernæring</w:t>
      </w:r>
      <w:r w:rsidRPr="00146DC3">
        <w:rPr>
          <w:b/>
        </w:rPr>
        <w:t>:</w:t>
      </w:r>
      <w:r w:rsidRPr="00A04317">
        <w:t xml:space="preserve"> </w:t>
      </w:r>
      <w:r w:rsidR="0002697B" w:rsidRPr="00A04317">
        <w:t>S</w:t>
      </w:r>
      <w:r w:rsidR="00987F27" w:rsidRPr="00A04317">
        <w:t>ondeløsning</w:t>
      </w:r>
      <w:r w:rsidR="009A0925" w:rsidRPr="00A04317">
        <w:t xml:space="preserve"> </w:t>
      </w:r>
      <w:r w:rsidR="0002697B" w:rsidRPr="00A04317">
        <w:t xml:space="preserve">velges i samråd med ansvarlig lege </w:t>
      </w:r>
      <w:r w:rsidR="00F0385E" w:rsidRPr="00A04317">
        <w:t>hvor</w:t>
      </w:r>
      <w:r w:rsidR="0002697B" w:rsidRPr="00A04317">
        <w:t xml:space="preserve"> en ta</w:t>
      </w:r>
      <w:r w:rsidR="00F0385E" w:rsidRPr="00A04317">
        <w:t>r</w:t>
      </w:r>
      <w:r w:rsidR="0002697B" w:rsidRPr="00A04317">
        <w:t xml:space="preserve"> </w:t>
      </w:r>
      <w:r w:rsidR="00987F27" w:rsidRPr="00A04317">
        <w:t>hensyn til pasientens komplikasjoner, organsvikt,</w:t>
      </w:r>
      <w:r w:rsidR="0002697B" w:rsidRPr="00A04317">
        <w:t xml:space="preserve"> intoleranse og ernæringsbehov </w:t>
      </w:r>
      <w:r w:rsidR="00F0385E" w:rsidRPr="00A04317">
        <w:t xml:space="preserve">samt avklare </w:t>
      </w:r>
      <w:r w:rsidR="0002697B" w:rsidRPr="00A04317">
        <w:t xml:space="preserve">hvor streng </w:t>
      </w:r>
      <w:r w:rsidR="00987F27" w:rsidRPr="00A04317">
        <w:t>væskerestriksjon</w:t>
      </w:r>
      <w:r w:rsidR="00F0385E" w:rsidRPr="00A04317">
        <w:t>en bør</w:t>
      </w:r>
      <w:r w:rsidR="00987F27" w:rsidRPr="00A04317">
        <w:t xml:space="preserve"> </w:t>
      </w:r>
      <w:r w:rsidR="0002697B" w:rsidRPr="00A04317">
        <w:t>være.</w:t>
      </w:r>
      <w:r w:rsidR="00987F27" w:rsidRPr="00A04317">
        <w:t xml:space="preserve"> </w:t>
      </w:r>
    </w:p>
    <w:p w:rsidR="008D5006" w:rsidRDefault="008D5006" w:rsidP="008D5006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</w:p>
    <w:p w:rsidR="00CA4B20" w:rsidRPr="00CA4B20" w:rsidRDefault="00CA4B20" w:rsidP="00CA4B20">
      <w:pPr>
        <w:spacing w:after="0" w:line="240" w:lineRule="auto"/>
        <w:rPr>
          <w:rFonts w:ascii="Calibri" w:eastAsia="Calibri" w:hAnsi="Calibri" w:cs="Times New Roman"/>
        </w:rPr>
      </w:pPr>
      <w:bookmarkStart w:id="21" w:name="OLE_LINK31"/>
      <w:bookmarkStart w:id="22" w:name="OLE_LINK32"/>
      <w:r w:rsidRPr="00CA4B20">
        <w:rPr>
          <w:rFonts w:ascii="Calibri" w:eastAsia="Calibri" w:hAnsi="Calibri" w:cs="Times New Roman"/>
          <w:b/>
          <w:noProof/>
          <w:lang w:eastAsia="nb-NO"/>
        </w:rPr>
        <w:t>Tabell 1:</w:t>
      </w:r>
      <w:r w:rsidRPr="00CA4B20">
        <w:rPr>
          <w:rFonts w:ascii="Calibri" w:eastAsia="Calibri" w:hAnsi="Calibri" w:cs="Times New Roman"/>
          <w:noProof/>
          <w:lang w:eastAsia="nb-NO"/>
        </w:rPr>
        <w:t xml:space="preserve">  I forsøk på å lage en oversikt over sondeløsninger som kan passe til ulike scenario har vi sammenlignet noen sondeløsning som kan brukes på en intensivavdeling i en tabell.</w:t>
      </w:r>
    </w:p>
    <w:tbl>
      <w:tblPr>
        <w:tblStyle w:val="Tabellrutenett1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134"/>
        <w:gridCol w:w="1276"/>
        <w:gridCol w:w="992"/>
        <w:gridCol w:w="1418"/>
      </w:tblGrid>
      <w:tr w:rsidR="00CA4B20" w:rsidRPr="00CA4B20" w:rsidTr="00007F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100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Nutrison</w:t>
            </w:r>
            <w:proofErr w:type="spellEnd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protein </w:t>
            </w: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plus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Fresubin</w:t>
            </w:r>
            <w:proofErr w:type="spellEnd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2 kcal 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Nutrison</w:t>
            </w:r>
            <w:proofErr w:type="spellEnd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low</w:t>
            </w:r>
            <w:proofErr w:type="spellEnd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Nutrison</w:t>
            </w:r>
            <w:proofErr w:type="spellEnd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Consentrated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Fresubin</w:t>
            </w:r>
            <w:proofErr w:type="spellEnd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Intensiv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A4B20" w:rsidRPr="00CA4B20" w:rsidRDefault="00CA4B20" w:rsidP="00CA4B20">
            <w:pPr>
              <w:spacing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>Peptamen</w:t>
            </w:r>
            <w:proofErr w:type="spellEnd"/>
            <w:r w:rsidRPr="00CA4B20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Intens</w:t>
            </w:r>
          </w:p>
        </w:tc>
      </w:tr>
      <w:tr w:rsidR="00CA4B20" w:rsidRPr="00CA4B20" w:rsidTr="00007F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Væske 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83</w:t>
            </w:r>
          </w:p>
        </w:tc>
      </w:tr>
      <w:tr w:rsidR="00CA4B20" w:rsidRPr="00CA4B20" w:rsidTr="00007F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Energi, kcal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 xml:space="preserve">100 </w:t>
            </w:r>
          </w:p>
        </w:tc>
      </w:tr>
      <w:tr w:rsidR="00CA4B20" w:rsidRPr="00CA4B20" w:rsidTr="00007F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Protein,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873BC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873BC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873BC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873BC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5 p4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873BC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873BC4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bookmarkStart w:id="23" w:name="_GoBack"/>
            <w:bookmarkEnd w:id="23"/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 xml:space="preserve">3 </w:t>
            </w:r>
          </w:p>
        </w:tc>
      </w:tr>
      <w:tr w:rsidR="00CA4B20" w:rsidRPr="00CA4B20" w:rsidTr="00007F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Na, mg/</w:t>
            </w:r>
            <w:proofErr w:type="spellStart"/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111/4,8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60/2,6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25/1,1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175/7,6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100</w:t>
            </w:r>
          </w:p>
        </w:tc>
      </w:tr>
      <w:tr w:rsidR="00CA4B20" w:rsidRPr="00CA4B20" w:rsidTr="00007F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K, mg/</w:t>
            </w:r>
            <w:proofErr w:type="spellStart"/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mmol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168/3,3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170/4,4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150/3,8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180/4,6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295/7,5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177/4,6</w:t>
            </w:r>
          </w:p>
        </w:tc>
      </w:tr>
      <w:tr w:rsidR="00CA4B20" w:rsidRPr="00CA4B20" w:rsidTr="00007F6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Osmolailtet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20" w:rsidRPr="00CA4B20" w:rsidRDefault="00CA4B20" w:rsidP="00CA4B20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A4B20">
              <w:rPr>
                <w:rFonts w:ascii="Calibri" w:eastAsia="Calibri" w:hAnsi="Calibri" w:cs="Times New Roman"/>
                <w:sz w:val="18"/>
                <w:szCs w:val="18"/>
              </w:rPr>
              <w:t>334</w:t>
            </w:r>
          </w:p>
        </w:tc>
      </w:tr>
    </w:tbl>
    <w:p w:rsidR="00CA4B20" w:rsidRDefault="00CA4B20" w:rsidP="008D5006">
      <w:pPr>
        <w:spacing w:after="0" w:line="240" w:lineRule="auto"/>
        <w:rPr>
          <w:rFonts w:ascii="Calibri" w:eastAsia="Calibri" w:hAnsi="Calibri" w:cs="Times New Roman"/>
          <w:b/>
          <w:noProof/>
          <w:lang w:eastAsia="nb-NO"/>
        </w:rPr>
      </w:pPr>
    </w:p>
    <w:p w:rsidR="00FA33DE" w:rsidRPr="004F5F77" w:rsidRDefault="00FA33DE" w:rsidP="008D5006">
      <w:pPr>
        <w:spacing w:after="0" w:line="240" w:lineRule="auto"/>
        <w:rPr>
          <w:rFonts w:ascii="Calibri" w:eastAsia="Calibri" w:hAnsi="Calibri" w:cs="Times New Roman"/>
          <w:b/>
          <w:noProof/>
          <w:lang w:eastAsia="nb-NO"/>
        </w:rPr>
      </w:pPr>
      <w:r w:rsidRPr="004F5F77">
        <w:rPr>
          <w:rFonts w:ascii="Calibri" w:eastAsia="Calibri" w:hAnsi="Calibri" w:cs="Times New Roman"/>
          <w:b/>
          <w:noProof/>
          <w:lang w:eastAsia="nb-NO"/>
        </w:rPr>
        <w:t>Referanse:</w:t>
      </w:r>
    </w:p>
    <w:p w:rsidR="00405B33" w:rsidRDefault="00405B33" w:rsidP="00405B3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 xml:space="preserve">The Australian and New Zealand Intensive Care Society (ANZIC) COVID-19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Guidlelines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hyperlink r:id="rId8" w:history="1">
        <w:r>
          <w:rPr>
            <w:rStyle w:val="Hyperkobling"/>
            <w:rFonts w:ascii="Calibri" w:eastAsia="Calibri" w:hAnsi="Calibri" w:cs="Calibri"/>
            <w:sz w:val="20"/>
            <w:szCs w:val="20"/>
            <w:lang w:val="en-US"/>
          </w:rPr>
          <w:t>https://www.anzics.com.au/coronavirus-guidelines/</w:t>
        </w:r>
      </w:hyperlink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405B33" w:rsidRPr="00405B33" w:rsidRDefault="00873BC4" w:rsidP="00405B3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hyperlink r:id="rId9" w:history="1">
        <w:r w:rsidR="00405B33" w:rsidRPr="00405B33">
          <w:rPr>
            <w:rStyle w:val="Hyperkobling"/>
            <w:rFonts w:ascii="Calibri" w:eastAsia="Calibri" w:hAnsi="Calibri" w:cs="Calibri"/>
            <w:sz w:val="20"/>
            <w:szCs w:val="20"/>
            <w:lang w:val="en-US"/>
          </w:rPr>
          <w:t>https://www.uptodate.com/contents/society-guideline-links-coronavirus-disease-2019-covid-19</w:t>
        </w:r>
      </w:hyperlink>
      <w:r w:rsidR="00405B33" w:rsidRPr="00405B33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AF2192" w:rsidRPr="0056492F" w:rsidRDefault="00AF2192" w:rsidP="0056492F">
      <w:pPr>
        <w:pStyle w:val="Listeavsnitt"/>
        <w:numPr>
          <w:ilvl w:val="0"/>
          <w:numId w:val="2"/>
        </w:numPr>
        <w:spacing w:after="0" w:line="360" w:lineRule="auto"/>
        <w:rPr>
          <w:rFonts w:cstheme="minorHAnsi"/>
          <w:sz w:val="20"/>
          <w:szCs w:val="20"/>
          <w:lang w:val="en-US"/>
        </w:rPr>
      </w:pPr>
      <w:r w:rsidRPr="0056492F">
        <w:rPr>
          <w:rFonts w:cstheme="minorHAnsi"/>
          <w:sz w:val="20"/>
          <w:szCs w:val="20"/>
          <w:lang w:val="en-US"/>
        </w:rPr>
        <w:t>Espen expert statements and practical guidance for nutritional management of</w:t>
      </w:r>
    </w:p>
    <w:p w:rsidR="00AF2192" w:rsidRPr="00AF2192" w:rsidRDefault="00AF2192" w:rsidP="0056492F">
      <w:pPr>
        <w:pStyle w:val="Listeavsnitt"/>
        <w:spacing w:after="0" w:line="360" w:lineRule="auto"/>
        <w:ind w:left="1080"/>
        <w:rPr>
          <w:rFonts w:cstheme="minorHAnsi"/>
          <w:lang w:val="en-US"/>
        </w:rPr>
      </w:pPr>
      <w:r w:rsidRPr="0056492F">
        <w:rPr>
          <w:rFonts w:cstheme="minorHAnsi"/>
          <w:sz w:val="20"/>
          <w:szCs w:val="20"/>
          <w:lang w:val="en-US"/>
        </w:rPr>
        <w:t>individuals with sars-cov-2 infection.</w:t>
      </w:r>
      <w:r w:rsidRPr="0056492F">
        <w:rPr>
          <w:sz w:val="20"/>
          <w:szCs w:val="20"/>
          <w:lang w:val="en-US"/>
        </w:rPr>
        <w:t xml:space="preserve"> </w:t>
      </w:r>
      <w:r w:rsidRPr="0056492F">
        <w:rPr>
          <w:rFonts w:cstheme="minorHAnsi"/>
          <w:sz w:val="20"/>
          <w:szCs w:val="20"/>
          <w:lang w:val="en-US"/>
        </w:rPr>
        <w:t>Accepted: 24 March 2020</w:t>
      </w:r>
      <w:r>
        <w:rPr>
          <w:rFonts w:cstheme="minorHAnsi"/>
          <w:lang w:val="en-US"/>
        </w:rPr>
        <w:t xml:space="preserve"> </w:t>
      </w:r>
      <w:hyperlink r:id="rId10" w:history="1">
        <w:r w:rsidRPr="00AF2192">
          <w:rPr>
            <w:rStyle w:val="Hyperkobling"/>
            <w:rFonts w:ascii="Calibri" w:eastAsia="Calibri" w:hAnsi="Calibri" w:cs="Calibri"/>
            <w:sz w:val="20"/>
            <w:szCs w:val="20"/>
            <w:lang w:val="en-US"/>
          </w:rPr>
          <w:t>https://www.espen.org/files/Espen_expert_statements_and_practical_guidance_for_nutritional_management_of_individuals_with_sars-cov-2_infection.pdf</w:t>
        </w:r>
      </w:hyperlink>
    </w:p>
    <w:p w:rsidR="00C20D54" w:rsidRPr="00C20D54" w:rsidRDefault="00C20D54" w:rsidP="00C20D54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r w:rsidRPr="00C20D54">
        <w:rPr>
          <w:rFonts w:ascii="Calibri" w:eastAsia="Calibri" w:hAnsi="Calibri" w:cs="Calibri"/>
          <w:sz w:val="20"/>
          <w:szCs w:val="20"/>
          <w:lang w:val="en-US"/>
        </w:rPr>
        <w:t>Nutrition Therapy in the Patient with COVID-19 Disease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C20D54">
        <w:rPr>
          <w:rFonts w:ascii="Calibri" w:eastAsia="Calibri" w:hAnsi="Calibri" w:cs="Calibri"/>
          <w:sz w:val="20"/>
          <w:szCs w:val="20"/>
          <w:lang w:val="en-US"/>
        </w:rPr>
        <w:t xml:space="preserve">Requiring ICU Care. Reviewed and Approved by the Society of Critical Care Medicine and </w:t>
      </w:r>
      <w:bookmarkStart w:id="24" w:name="OLE_LINK5"/>
      <w:bookmarkStart w:id="25" w:name="OLE_LINK6"/>
      <w:r w:rsidRPr="00C20D54">
        <w:rPr>
          <w:rFonts w:ascii="Calibri" w:eastAsia="Calibri" w:hAnsi="Calibri" w:cs="Calibri"/>
          <w:sz w:val="20"/>
          <w:szCs w:val="20"/>
          <w:lang w:val="en-US"/>
        </w:rPr>
        <w:t>the American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Pr="00C20D54">
        <w:rPr>
          <w:rFonts w:ascii="Calibri" w:eastAsia="Calibri" w:hAnsi="Calibri" w:cs="Calibri"/>
          <w:sz w:val="20"/>
          <w:szCs w:val="20"/>
          <w:lang w:val="en-US"/>
        </w:rPr>
        <w:t xml:space="preserve">Society for Parenteral and Enteral Nutrition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(ASPEN) </w:t>
      </w:r>
      <w:bookmarkEnd w:id="24"/>
      <w:bookmarkEnd w:id="25"/>
      <w:r w:rsidRPr="00C20D54">
        <w:rPr>
          <w:rFonts w:ascii="Calibri" w:eastAsia="Calibri" w:hAnsi="Calibri" w:cs="Calibri"/>
          <w:sz w:val="20"/>
          <w:szCs w:val="20"/>
          <w:lang w:val="en-US"/>
        </w:rPr>
        <w:fldChar w:fldCharType="begin"/>
      </w:r>
      <w:r w:rsidRPr="00C20D54">
        <w:rPr>
          <w:rFonts w:ascii="Calibri" w:eastAsia="Calibri" w:hAnsi="Calibri" w:cs="Calibri"/>
          <w:sz w:val="20"/>
          <w:szCs w:val="20"/>
          <w:lang w:val="en-US"/>
        </w:rPr>
        <w:instrText xml:space="preserve"> HYPERLINK "https://www.nutritioncare.org/Guidelines_and_Clinical_Resources/Resources_for_Clinicians_Caring_for_Patients_with_Coronavirus/" </w:instrText>
      </w:r>
      <w:r w:rsidRPr="00C20D54">
        <w:rPr>
          <w:rFonts w:ascii="Calibri" w:eastAsia="Calibri" w:hAnsi="Calibri" w:cs="Calibri"/>
          <w:sz w:val="20"/>
          <w:szCs w:val="20"/>
          <w:lang w:val="en-US"/>
        </w:rPr>
        <w:fldChar w:fldCharType="separate"/>
      </w:r>
      <w:r w:rsidRPr="00C20D54">
        <w:rPr>
          <w:rStyle w:val="Hyperkobling"/>
          <w:rFonts w:ascii="Calibri" w:eastAsia="Calibri" w:hAnsi="Calibri" w:cs="Calibri"/>
          <w:sz w:val="20"/>
          <w:szCs w:val="20"/>
          <w:lang w:val="en-US"/>
        </w:rPr>
        <w:t>https://www.nutritioncare.org/Guidelines_and_Clinical_Resources/Resources_for_Clinicians_Caring_for_Patients_with_Coronavirus/</w:t>
      </w:r>
      <w:r w:rsidRPr="00C20D54">
        <w:rPr>
          <w:rFonts w:ascii="Calibri" w:eastAsia="Calibri" w:hAnsi="Calibri" w:cs="Calibri"/>
          <w:sz w:val="20"/>
          <w:szCs w:val="20"/>
          <w:lang w:val="en-US"/>
        </w:rPr>
        <w:fldChar w:fldCharType="end"/>
      </w:r>
      <w:r w:rsidRPr="00C20D54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</w:p>
    <w:p w:rsidR="0056492F" w:rsidRDefault="0056492F" w:rsidP="0056492F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bookmarkStart w:id="26" w:name="OLE_LINK25"/>
      <w:bookmarkStart w:id="27" w:name="OLE_LINK26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Singer P,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Blaser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AR, Berger MA,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Alhazzani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W,Calder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PC,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Casaer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MP,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Hiesmayr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M, Mayer K,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Montejo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JC, 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Pichard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C,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Preiser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JC, Van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Zanten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ARH,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Oczkowski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S, </w:t>
      </w:r>
      <w:proofErr w:type="spellStart"/>
      <w:r w:rsidRPr="00AF2192">
        <w:rPr>
          <w:rFonts w:ascii="Calibri" w:eastAsia="Calibri" w:hAnsi="Calibri" w:cs="Calibri"/>
          <w:sz w:val="20"/>
          <w:szCs w:val="20"/>
          <w:lang w:val="en-US"/>
        </w:rPr>
        <w:t>Szczeklik</w:t>
      </w:r>
      <w:proofErr w:type="spellEnd"/>
      <w:r w:rsidRPr="00AF2192">
        <w:rPr>
          <w:rFonts w:ascii="Calibri" w:eastAsia="Calibri" w:hAnsi="Calibri" w:cs="Calibri"/>
          <w:sz w:val="20"/>
          <w:szCs w:val="20"/>
          <w:lang w:val="en-US"/>
        </w:rPr>
        <w:t xml:space="preserve"> W, Bischoff SC. </w:t>
      </w:r>
      <w:r>
        <w:rPr>
          <w:rFonts w:ascii="Calibri" w:eastAsia="Calibri" w:hAnsi="Calibri" w:cs="Calibri"/>
          <w:sz w:val="20"/>
          <w:szCs w:val="20"/>
          <w:lang w:val="en-US"/>
        </w:rPr>
        <w:t>(2019) ESPEN guideline on clinical nutrition in the intensive care unit. Clinical Nutrition, 38, 48-79.</w:t>
      </w:r>
    </w:p>
    <w:p w:rsidR="0056492F" w:rsidRDefault="0056492F" w:rsidP="0056492F">
      <w:pPr>
        <w:numPr>
          <w:ilvl w:val="0"/>
          <w:numId w:val="2"/>
        </w:numPr>
        <w:spacing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McClave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SA, Taylor BE, </w:t>
      </w:r>
      <w:proofErr w:type="spellStart"/>
      <w:r>
        <w:rPr>
          <w:rFonts w:ascii="Calibri" w:eastAsia="Calibri" w:hAnsi="Calibri" w:cs="Calibri"/>
          <w:sz w:val="20"/>
          <w:szCs w:val="20"/>
        </w:rPr>
        <w:t>Martindale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RG, et al. </w:t>
      </w:r>
      <w:r>
        <w:rPr>
          <w:rFonts w:ascii="Calibri" w:eastAsia="Calibri" w:hAnsi="Calibri" w:cs="Calibri"/>
          <w:sz w:val="20"/>
          <w:szCs w:val="20"/>
          <w:lang w:val="en-US"/>
        </w:rPr>
        <w:t>(2016) Guidelines for the provision and assessment of nutrition support therapy in the adult critically ill patient: Society of Critical Care Medicine (SCCM) and American Society for Parenteral and Enteral Nutrition (A.S.P.E.N.) Journal of Parenteral and Enteral Nutrition, 40 (2), 159-211.</w:t>
      </w:r>
    </w:p>
    <w:p w:rsidR="00405B33" w:rsidRPr="00FB3843" w:rsidRDefault="00BD5AA3" w:rsidP="00BD5AA3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BD5AA3">
        <w:rPr>
          <w:rFonts w:ascii="Calibri" w:eastAsia="Calibri" w:hAnsi="Calibri" w:cs="Calibri"/>
          <w:sz w:val="20"/>
          <w:szCs w:val="20"/>
          <w:lang w:val="en-US"/>
        </w:rPr>
        <w:t>BDA Critical Care Specialist Group COVID-19 Best Practice Guidance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hyperlink r:id="rId11" w:history="1">
        <w:r w:rsidR="00405B33" w:rsidRPr="00FB3843">
          <w:rPr>
            <w:rStyle w:val="Hyperkobling"/>
            <w:rFonts w:ascii="Calibri" w:eastAsia="Calibri" w:hAnsi="Calibri" w:cs="Calibri"/>
            <w:sz w:val="20"/>
            <w:szCs w:val="20"/>
          </w:rPr>
          <w:t>https://www.bda.uk.com/resource/best-practice-guidance-enteral-feeding-in-prone-position.html</w:t>
        </w:r>
      </w:hyperlink>
      <w:r w:rsidR="00405B33" w:rsidRPr="00FB3843">
        <w:rPr>
          <w:rFonts w:ascii="Calibri" w:eastAsia="Calibri" w:hAnsi="Calibri" w:cs="Calibri"/>
          <w:sz w:val="20"/>
          <w:szCs w:val="20"/>
        </w:rPr>
        <w:t xml:space="preserve"> </w:t>
      </w:r>
    </w:p>
    <w:bookmarkEnd w:id="26"/>
    <w:bookmarkEnd w:id="27"/>
    <w:p w:rsidR="00AF2192" w:rsidRDefault="00AF2192" w:rsidP="00AF2192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Reintam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Blaser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A, </w:t>
      </w:r>
      <w:proofErr w:type="spellStart"/>
      <w:r>
        <w:rPr>
          <w:rFonts w:ascii="Calibri" w:eastAsia="Calibri" w:hAnsi="Calibri" w:cs="Calibri"/>
          <w:sz w:val="20"/>
          <w:szCs w:val="20"/>
        </w:rPr>
        <w:t>Starkopf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J, </w:t>
      </w:r>
      <w:proofErr w:type="spellStart"/>
      <w:r>
        <w:rPr>
          <w:rFonts w:ascii="Calibri" w:eastAsia="Calibri" w:hAnsi="Calibri" w:cs="Calibri"/>
          <w:sz w:val="20"/>
          <w:szCs w:val="20"/>
        </w:rPr>
        <w:t>Alhazzani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W, Berger MM, et al.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Function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EWGoG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(2017) Early enteral nutrition in critically ill patients: ESICM clinical practice guidelines. </w:t>
      </w:r>
      <w:bookmarkStart w:id="28" w:name="OLE_LINK29"/>
      <w:bookmarkStart w:id="29" w:name="OLE_LINK30"/>
      <w:r>
        <w:rPr>
          <w:rFonts w:ascii="Calibri" w:eastAsia="Calibri" w:hAnsi="Calibri" w:cs="Calibri"/>
          <w:sz w:val="20"/>
          <w:szCs w:val="20"/>
          <w:lang w:val="en-US"/>
        </w:rPr>
        <w:t>Intensive Care Med 43:380–398</w:t>
      </w:r>
      <w:bookmarkEnd w:id="28"/>
      <w:bookmarkEnd w:id="29"/>
    </w:p>
    <w:p w:rsidR="00AF2192" w:rsidRPr="00786475" w:rsidRDefault="00AF2192" w:rsidP="00AF2192">
      <w:pPr>
        <w:numPr>
          <w:ilvl w:val="0"/>
          <w:numId w:val="2"/>
        </w:numPr>
        <w:spacing w:after="0" w:line="360" w:lineRule="auto"/>
        <w:contextualSpacing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 xml:space="preserve">David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Seres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, Polly E Parsons, and Geraldine Finlay. Nutrition support in critically ill patients: Enteral nutrition, Literature review current through: Feb 2020. | This topic last updated: Feb 04, 2019. </w:t>
      </w:r>
      <w:hyperlink r:id="rId12" w:history="1">
        <w:r w:rsidRPr="00786475">
          <w:rPr>
            <w:rStyle w:val="Hyperkobling"/>
            <w:rFonts w:ascii="Calibri" w:eastAsia="Calibri" w:hAnsi="Calibri" w:cs="Calibri"/>
            <w:color w:val="0563C1"/>
            <w:sz w:val="20"/>
            <w:szCs w:val="20"/>
            <w:lang w:val="en-US"/>
          </w:rPr>
          <w:t>https://www.uptodate.com/contents/nutrition-support-in-critically-ill-patients-enteral-nutrition</w:t>
        </w:r>
      </w:hyperlink>
      <w:r w:rsidRPr="00786475">
        <w:rPr>
          <w:rFonts w:ascii="Calibri" w:eastAsia="Calibri" w:hAnsi="Calibri" w:cs="Calibri"/>
          <w:sz w:val="20"/>
          <w:szCs w:val="20"/>
          <w:lang w:val="en-US"/>
        </w:rPr>
        <w:t xml:space="preserve">  </w:t>
      </w:r>
    </w:p>
    <w:p w:rsidR="002C1F00" w:rsidRPr="002C1F00" w:rsidRDefault="002C1F00" w:rsidP="002C1F00">
      <w:pPr>
        <w:pStyle w:val="Listeavsnitt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2C1F00">
        <w:rPr>
          <w:rFonts w:ascii="Calibri" w:eastAsia="Calibri" w:hAnsi="Calibri" w:cs="Calibri"/>
          <w:sz w:val="20"/>
          <w:szCs w:val="20"/>
        </w:rPr>
        <w:t xml:space="preserve">Retningslinje om forebygging og behandling av </w:t>
      </w:r>
      <w:proofErr w:type="spellStart"/>
      <w:r w:rsidRPr="002C1F00">
        <w:rPr>
          <w:rFonts w:ascii="Calibri" w:eastAsia="Calibri" w:hAnsi="Calibri" w:cs="Calibri"/>
          <w:sz w:val="20"/>
          <w:szCs w:val="20"/>
        </w:rPr>
        <w:t>reernæringssyndrom</w:t>
      </w:r>
      <w:proofErr w:type="spellEnd"/>
      <w:r w:rsidRPr="002C1F00">
        <w:rPr>
          <w:rFonts w:ascii="Calibri" w:eastAsia="Calibri" w:hAnsi="Calibri" w:cs="Calibri"/>
          <w:sz w:val="20"/>
          <w:szCs w:val="20"/>
        </w:rPr>
        <w:t xml:space="preserve"> (OUS).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hyperlink r:id="rId13" w:history="1">
        <w:r w:rsidRPr="002C1F00">
          <w:rPr>
            <w:rStyle w:val="Hyperkobling"/>
            <w:rFonts w:ascii="Calibri" w:eastAsia="Calibri" w:hAnsi="Calibri" w:cs="Calibri"/>
            <w:sz w:val="20"/>
            <w:szCs w:val="20"/>
          </w:rPr>
          <w:t>http://ehandbok.ous-hf.no/document/129340/fields/23</w:t>
        </w:r>
      </w:hyperlink>
      <w:r w:rsidRPr="002C1F00">
        <w:rPr>
          <w:rFonts w:ascii="Calibri" w:eastAsia="Calibri" w:hAnsi="Calibri" w:cs="Calibri"/>
          <w:sz w:val="20"/>
          <w:szCs w:val="20"/>
        </w:rPr>
        <w:t xml:space="preserve"> </w:t>
      </w:r>
    </w:p>
    <w:bookmarkEnd w:id="21"/>
    <w:bookmarkEnd w:id="22"/>
    <w:p w:rsidR="00AF2192" w:rsidRPr="002C1F00" w:rsidRDefault="00AF2192" w:rsidP="008D5006">
      <w:pPr>
        <w:spacing w:after="0" w:line="240" w:lineRule="auto"/>
        <w:rPr>
          <w:rFonts w:ascii="Calibri" w:eastAsia="Calibri" w:hAnsi="Calibri" w:cs="Times New Roman"/>
          <w:noProof/>
          <w:lang w:eastAsia="nb-NO"/>
        </w:rPr>
      </w:pPr>
    </w:p>
    <w:sectPr w:rsidR="00AF2192" w:rsidRPr="002C1F0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77" w:rsidRDefault="004F5F77" w:rsidP="004F5F77">
      <w:pPr>
        <w:spacing w:after="0" w:line="240" w:lineRule="auto"/>
      </w:pPr>
      <w:r>
        <w:separator/>
      </w:r>
    </w:p>
  </w:endnote>
  <w:endnote w:type="continuationSeparator" w:id="0">
    <w:p w:rsidR="004F5F77" w:rsidRDefault="004F5F77" w:rsidP="004F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77" w:rsidRDefault="004F5F77" w:rsidP="004F5F77">
      <w:pPr>
        <w:spacing w:after="0" w:line="240" w:lineRule="auto"/>
      </w:pPr>
      <w:r>
        <w:separator/>
      </w:r>
    </w:p>
  </w:footnote>
  <w:footnote w:type="continuationSeparator" w:id="0">
    <w:p w:rsidR="004F5F77" w:rsidRDefault="004F5F77" w:rsidP="004F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03974"/>
      <w:docPartObj>
        <w:docPartGallery w:val="Page Numbers (Top of Page)"/>
        <w:docPartUnique/>
      </w:docPartObj>
    </w:sdtPr>
    <w:sdtEndPr/>
    <w:sdtContent>
      <w:p w:rsidR="004F5F77" w:rsidRDefault="004F5F77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BC4">
          <w:rPr>
            <w:noProof/>
          </w:rPr>
          <w:t>3</w:t>
        </w:r>
        <w:r>
          <w:fldChar w:fldCharType="end"/>
        </w:r>
      </w:p>
    </w:sdtContent>
  </w:sdt>
  <w:p w:rsidR="004F5F77" w:rsidRDefault="004F5F7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505"/>
    <w:multiLevelType w:val="hybridMultilevel"/>
    <w:tmpl w:val="49826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C2669"/>
    <w:multiLevelType w:val="hybridMultilevel"/>
    <w:tmpl w:val="B63249C4"/>
    <w:lvl w:ilvl="0" w:tplc="3C9A5636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A94CED"/>
    <w:multiLevelType w:val="hybridMultilevel"/>
    <w:tmpl w:val="DE1EC4F0"/>
    <w:lvl w:ilvl="0" w:tplc="0414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43"/>
    <w:rsid w:val="00025BB9"/>
    <w:rsid w:val="0002697B"/>
    <w:rsid w:val="000374DC"/>
    <w:rsid w:val="000407B1"/>
    <w:rsid w:val="000678AC"/>
    <w:rsid w:val="00067982"/>
    <w:rsid w:val="00081B72"/>
    <w:rsid w:val="000C576F"/>
    <w:rsid w:val="000D5FC7"/>
    <w:rsid w:val="000F451F"/>
    <w:rsid w:val="000F47E5"/>
    <w:rsid w:val="00113910"/>
    <w:rsid w:val="00126007"/>
    <w:rsid w:val="00146DC3"/>
    <w:rsid w:val="00194FC7"/>
    <w:rsid w:val="001C01FE"/>
    <w:rsid w:val="0022582E"/>
    <w:rsid w:val="002416C8"/>
    <w:rsid w:val="0024694E"/>
    <w:rsid w:val="00254084"/>
    <w:rsid w:val="002604AA"/>
    <w:rsid w:val="00284577"/>
    <w:rsid w:val="00287163"/>
    <w:rsid w:val="002B1AAE"/>
    <w:rsid w:val="002B5D8D"/>
    <w:rsid w:val="002C1F00"/>
    <w:rsid w:val="002D25FB"/>
    <w:rsid w:val="00350202"/>
    <w:rsid w:val="0036144F"/>
    <w:rsid w:val="003960D9"/>
    <w:rsid w:val="00396BF2"/>
    <w:rsid w:val="003B028A"/>
    <w:rsid w:val="003B0577"/>
    <w:rsid w:val="003F2B71"/>
    <w:rsid w:val="003F4BBC"/>
    <w:rsid w:val="00405B33"/>
    <w:rsid w:val="00492A54"/>
    <w:rsid w:val="004942E6"/>
    <w:rsid w:val="004B329E"/>
    <w:rsid w:val="004D16AA"/>
    <w:rsid w:val="004D1A9B"/>
    <w:rsid w:val="004F10E8"/>
    <w:rsid w:val="004F5F77"/>
    <w:rsid w:val="005004CA"/>
    <w:rsid w:val="00523A54"/>
    <w:rsid w:val="00526C3D"/>
    <w:rsid w:val="00532B26"/>
    <w:rsid w:val="00561131"/>
    <w:rsid w:val="0056492F"/>
    <w:rsid w:val="005742B9"/>
    <w:rsid w:val="005919F4"/>
    <w:rsid w:val="005970ED"/>
    <w:rsid w:val="005C0F7A"/>
    <w:rsid w:val="005E2BBF"/>
    <w:rsid w:val="005E44E3"/>
    <w:rsid w:val="00606FE5"/>
    <w:rsid w:val="00676B82"/>
    <w:rsid w:val="006969ED"/>
    <w:rsid w:val="00697217"/>
    <w:rsid w:val="006B1AFC"/>
    <w:rsid w:val="006B3B76"/>
    <w:rsid w:val="006D710C"/>
    <w:rsid w:val="006F58E5"/>
    <w:rsid w:val="007341A6"/>
    <w:rsid w:val="00750EB1"/>
    <w:rsid w:val="00772659"/>
    <w:rsid w:val="007745A7"/>
    <w:rsid w:val="00786475"/>
    <w:rsid w:val="00787430"/>
    <w:rsid w:val="007B01EB"/>
    <w:rsid w:val="007C5444"/>
    <w:rsid w:val="007D105D"/>
    <w:rsid w:val="007D43BE"/>
    <w:rsid w:val="00811620"/>
    <w:rsid w:val="0083123C"/>
    <w:rsid w:val="008347B9"/>
    <w:rsid w:val="00854008"/>
    <w:rsid w:val="00873BC4"/>
    <w:rsid w:val="00890E6B"/>
    <w:rsid w:val="008A519F"/>
    <w:rsid w:val="008D5006"/>
    <w:rsid w:val="008E688B"/>
    <w:rsid w:val="00932EFC"/>
    <w:rsid w:val="00985A2E"/>
    <w:rsid w:val="00987F27"/>
    <w:rsid w:val="009A0925"/>
    <w:rsid w:val="009C7AA1"/>
    <w:rsid w:val="009F60D4"/>
    <w:rsid w:val="00A029F5"/>
    <w:rsid w:val="00A04317"/>
    <w:rsid w:val="00A31DFC"/>
    <w:rsid w:val="00A34943"/>
    <w:rsid w:val="00A72754"/>
    <w:rsid w:val="00A834D5"/>
    <w:rsid w:val="00AA2094"/>
    <w:rsid w:val="00AA2353"/>
    <w:rsid w:val="00AA625E"/>
    <w:rsid w:val="00AE41E0"/>
    <w:rsid w:val="00AF2192"/>
    <w:rsid w:val="00B10319"/>
    <w:rsid w:val="00B86BB5"/>
    <w:rsid w:val="00BC0AC0"/>
    <w:rsid w:val="00BC5083"/>
    <w:rsid w:val="00BD5AA3"/>
    <w:rsid w:val="00BD63CD"/>
    <w:rsid w:val="00BE7743"/>
    <w:rsid w:val="00C20D54"/>
    <w:rsid w:val="00C25D0B"/>
    <w:rsid w:val="00C2654E"/>
    <w:rsid w:val="00C92C21"/>
    <w:rsid w:val="00C9342E"/>
    <w:rsid w:val="00CA4B20"/>
    <w:rsid w:val="00CB2CB4"/>
    <w:rsid w:val="00CC6F4C"/>
    <w:rsid w:val="00CE0F5D"/>
    <w:rsid w:val="00CE3889"/>
    <w:rsid w:val="00CE38E5"/>
    <w:rsid w:val="00D42C62"/>
    <w:rsid w:val="00D53013"/>
    <w:rsid w:val="00D652ED"/>
    <w:rsid w:val="00D75D77"/>
    <w:rsid w:val="00D80CB7"/>
    <w:rsid w:val="00D9674B"/>
    <w:rsid w:val="00E02AAF"/>
    <w:rsid w:val="00E208C6"/>
    <w:rsid w:val="00E20B50"/>
    <w:rsid w:val="00E5198F"/>
    <w:rsid w:val="00E63879"/>
    <w:rsid w:val="00E640C8"/>
    <w:rsid w:val="00E66A7F"/>
    <w:rsid w:val="00EB2EBC"/>
    <w:rsid w:val="00EC201F"/>
    <w:rsid w:val="00EF22F0"/>
    <w:rsid w:val="00EF3BFF"/>
    <w:rsid w:val="00EF4D93"/>
    <w:rsid w:val="00F0385E"/>
    <w:rsid w:val="00F31B12"/>
    <w:rsid w:val="00F35CA6"/>
    <w:rsid w:val="00F43C92"/>
    <w:rsid w:val="00F5332D"/>
    <w:rsid w:val="00F976C5"/>
    <w:rsid w:val="00FA05AD"/>
    <w:rsid w:val="00FA33DE"/>
    <w:rsid w:val="00FA5841"/>
    <w:rsid w:val="00FB1B26"/>
    <w:rsid w:val="00FB206A"/>
    <w:rsid w:val="00FB3843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E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F22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22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2F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22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2F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2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45A7"/>
    <w:pPr>
      <w:spacing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219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F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5F77"/>
  </w:style>
  <w:style w:type="paragraph" w:styleId="Bunntekst">
    <w:name w:val="footer"/>
    <w:basedOn w:val="Normal"/>
    <w:link w:val="BunntekstTegn"/>
    <w:uiPriority w:val="99"/>
    <w:unhideWhenUsed/>
    <w:rsid w:val="004F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5F77"/>
  </w:style>
  <w:style w:type="table" w:customStyle="1" w:styleId="Tabellrutenett1">
    <w:name w:val="Tabellrutenett1"/>
    <w:basedOn w:val="Vanligtabell"/>
    <w:next w:val="Tabellrutenett"/>
    <w:uiPriority w:val="39"/>
    <w:rsid w:val="00CA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A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E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F22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22F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2F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22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2F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22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745A7"/>
    <w:pPr>
      <w:spacing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F2192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F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5F77"/>
  </w:style>
  <w:style w:type="paragraph" w:styleId="Bunntekst">
    <w:name w:val="footer"/>
    <w:basedOn w:val="Normal"/>
    <w:link w:val="BunntekstTegn"/>
    <w:uiPriority w:val="99"/>
    <w:unhideWhenUsed/>
    <w:rsid w:val="004F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5F77"/>
  </w:style>
  <w:style w:type="table" w:customStyle="1" w:styleId="Tabellrutenett1">
    <w:name w:val="Tabellrutenett1"/>
    <w:basedOn w:val="Vanligtabell"/>
    <w:next w:val="Tabellrutenett"/>
    <w:uiPriority w:val="39"/>
    <w:rsid w:val="00CA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CA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zics.com.au/coronavirus-guidelines/" TargetMode="External"/><Relationship Id="rId13" Type="http://schemas.openxmlformats.org/officeDocument/2006/relationships/hyperlink" Target="http://ehandbok.ous-hf.no/document/129340/fields/2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ptodate.com/contents/nutrition-support-in-critically-ill-patients-enteral-nutri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da.uk.com/resource/best-practice-guidance-enteral-feeding-in-prone-posi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pen.org/files/Espen_expert_statements_and_practical_guidance_for_nutritional_management_of_individuals_with_sars-cov-2_infec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ptodate.com/contents/society-guideline-links-coronavirus-disease-2019-covid-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44FABFCB</Template>
  <TotalTime>1</TotalTime>
  <Pages>4</Pages>
  <Words>1906</Words>
  <Characters>10105</Characters>
  <Application>Microsoft Office Word</Application>
  <DocSecurity>4</DocSecurity>
  <Lines>84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Sedegheh Gharagozlian</dc:creator>
  <cp:lastModifiedBy>Sedegheh Gharagozlian</cp:lastModifiedBy>
  <cp:revision>2</cp:revision>
  <dcterms:created xsi:type="dcterms:W3CDTF">2020-04-18T09:09:00Z</dcterms:created>
  <dcterms:modified xsi:type="dcterms:W3CDTF">2020-04-18T09:09:00Z</dcterms:modified>
</cp:coreProperties>
</file>